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B2559" w14:textId="77777777" w:rsidR="00511E52" w:rsidRDefault="00511E52" w:rsidP="00384AF1">
      <w:pPr>
        <w:pStyle w:val="NormalWeb"/>
        <w:rPr>
          <w:b/>
          <w:bCs/>
          <w:sz w:val="28"/>
          <w:szCs w:val="28"/>
        </w:rPr>
      </w:pPr>
    </w:p>
    <w:p w14:paraId="2235C707" w14:textId="4074F6D7" w:rsidR="007743E9" w:rsidRDefault="003D509C" w:rsidP="007743E9">
      <w:pPr>
        <w:pStyle w:val="NormalWeb"/>
        <w:jc w:val="center"/>
        <w:rPr>
          <w:b/>
          <w:bCs/>
          <w:sz w:val="28"/>
          <w:szCs w:val="28"/>
        </w:rPr>
      </w:pPr>
      <w:r>
        <w:rPr>
          <w:b/>
          <w:bCs/>
          <w:sz w:val="28"/>
          <w:szCs w:val="28"/>
        </w:rPr>
        <w:t xml:space="preserve">Project Proposal </w:t>
      </w:r>
      <w:r w:rsidR="006E65B7">
        <w:rPr>
          <w:b/>
          <w:bCs/>
          <w:sz w:val="28"/>
          <w:szCs w:val="28"/>
        </w:rPr>
        <w:t>Application Form</w:t>
      </w:r>
    </w:p>
    <w:p w14:paraId="33C19EFF" w14:textId="77777777" w:rsidR="006E65B7" w:rsidRDefault="006E65B7" w:rsidP="006E65B7">
      <w:pPr>
        <w:pStyle w:val="NormalWeb"/>
        <w:rPr>
          <w:sz w:val="28"/>
          <w:szCs w:val="28"/>
        </w:rPr>
      </w:pPr>
    </w:p>
    <w:p w14:paraId="6271AC57" w14:textId="21A4363E" w:rsidR="006E65B7" w:rsidRPr="00237918" w:rsidRDefault="006E65B7" w:rsidP="006E65B7">
      <w:pPr>
        <w:pStyle w:val="NormalWeb"/>
        <w:rPr>
          <w:b/>
          <w:bCs/>
          <w:sz w:val="28"/>
          <w:szCs w:val="28"/>
        </w:rPr>
      </w:pPr>
      <w:r w:rsidRPr="00237918">
        <w:rPr>
          <w:b/>
          <w:bCs/>
          <w:sz w:val="28"/>
          <w:szCs w:val="28"/>
        </w:rPr>
        <w:t>Deadlin</w:t>
      </w:r>
      <w:bookmarkStart w:id="0" w:name="_GoBack"/>
      <w:bookmarkEnd w:id="0"/>
      <w:r w:rsidRPr="00237918">
        <w:rPr>
          <w:b/>
          <w:bCs/>
          <w:sz w:val="28"/>
          <w:szCs w:val="28"/>
        </w:rPr>
        <w:t>e: Friday June 28</w:t>
      </w:r>
      <w:r w:rsidRPr="00237918">
        <w:rPr>
          <w:b/>
          <w:bCs/>
          <w:sz w:val="28"/>
          <w:szCs w:val="28"/>
          <w:vertAlign w:val="superscript"/>
        </w:rPr>
        <w:t>th</w:t>
      </w:r>
      <w:r w:rsidRPr="00237918">
        <w:rPr>
          <w:b/>
          <w:bCs/>
          <w:sz w:val="28"/>
          <w:szCs w:val="28"/>
        </w:rPr>
        <w:t xml:space="preserve"> at 5pm (UTC)</w:t>
      </w:r>
    </w:p>
    <w:p w14:paraId="5E76869F" w14:textId="1F15F3E9" w:rsidR="006E65B7" w:rsidRPr="00237918" w:rsidRDefault="006E65B7" w:rsidP="006E65B7">
      <w:pPr>
        <w:pStyle w:val="NormalWeb"/>
        <w:rPr>
          <w:b/>
          <w:bCs/>
          <w:sz w:val="28"/>
          <w:szCs w:val="28"/>
        </w:rPr>
      </w:pPr>
      <w:r w:rsidRPr="00237918">
        <w:rPr>
          <w:b/>
          <w:bCs/>
          <w:sz w:val="28"/>
          <w:szCs w:val="28"/>
        </w:rPr>
        <w:t xml:space="preserve">Email completed applications to </w:t>
      </w:r>
      <w:hyperlink r:id="rId8" w:history="1">
        <w:r w:rsidRPr="00237918">
          <w:rPr>
            <w:rStyle w:val="Hyperlink"/>
            <w:b/>
            <w:bCs/>
            <w:sz w:val="28"/>
            <w:szCs w:val="28"/>
          </w:rPr>
          <w:t>fiona.walsh@dmu.ac.uk</w:t>
        </w:r>
      </w:hyperlink>
    </w:p>
    <w:p w14:paraId="279ED3CE" w14:textId="77777777" w:rsidR="006E65B7" w:rsidRDefault="006E65B7" w:rsidP="007743E9">
      <w:pPr>
        <w:pStyle w:val="NormalWeb"/>
        <w:jc w:val="center"/>
        <w:rPr>
          <w:b/>
          <w:bCs/>
          <w:sz w:val="28"/>
          <w:szCs w:val="28"/>
        </w:rPr>
      </w:pPr>
    </w:p>
    <w:p w14:paraId="3EE33A95" w14:textId="434BDC50" w:rsidR="007743E9" w:rsidRDefault="007743E9" w:rsidP="007743E9">
      <w:pPr>
        <w:pStyle w:val="NormalWeb"/>
        <w:jc w:val="both"/>
      </w:pPr>
      <w:r w:rsidRPr="006E65B7">
        <w:t xml:space="preserve">We are inviting teams of ImpleMendez members to submit proposals for projects which will support </w:t>
      </w:r>
      <w:r w:rsidR="006E65B7">
        <w:t>the</w:t>
      </w:r>
      <w:r w:rsidRPr="006E65B7">
        <w:t xml:space="preserve"> overall objective</w:t>
      </w:r>
      <w:r w:rsidR="006E65B7">
        <w:t xml:space="preserve"> of this COST Action</w:t>
      </w:r>
      <w:r w:rsidRPr="006E65B7">
        <w:t xml:space="preserve">, as well as </w:t>
      </w:r>
      <w:r w:rsidR="006E65B7">
        <w:t xml:space="preserve">its </w:t>
      </w:r>
      <w:r w:rsidRPr="006E65B7">
        <w:t xml:space="preserve">secondary objectives, and work towards the production of the </w:t>
      </w:r>
      <w:r w:rsidR="006E65B7">
        <w:t>Action</w:t>
      </w:r>
      <w:r w:rsidRPr="006E65B7">
        <w:t xml:space="preserve"> deliverables.</w:t>
      </w:r>
    </w:p>
    <w:p w14:paraId="37C0B453" w14:textId="77777777" w:rsidR="006E65B7" w:rsidRPr="006E65B7" w:rsidRDefault="006E65B7" w:rsidP="007743E9">
      <w:pPr>
        <w:pStyle w:val="NormalWeb"/>
        <w:jc w:val="both"/>
      </w:pPr>
    </w:p>
    <w:p w14:paraId="7E5C5827" w14:textId="00067833" w:rsidR="007743E9" w:rsidRDefault="007743E9" w:rsidP="007743E9">
      <w:pPr>
        <w:pStyle w:val="NormalWeb"/>
        <w:jc w:val="both"/>
      </w:pPr>
      <w:r w:rsidRPr="006E65B7">
        <w:t>You can submit a</w:t>
      </w:r>
      <w:r w:rsidR="006E65B7">
        <w:t xml:space="preserve"> proposal for a</w:t>
      </w:r>
      <w:r w:rsidRPr="006E65B7">
        <w:t xml:space="preserve"> project to begin in Year 2 (Nov 2024-Oct 2025) or later in the ImpleMendez 4-year funding period</w:t>
      </w:r>
      <w:r w:rsidR="006E65B7">
        <w:t xml:space="preserve"> (ending Oct 2027)</w:t>
      </w:r>
      <w:r w:rsidRPr="006E65B7">
        <w:t>. Projects can</w:t>
      </w:r>
      <w:r w:rsidR="006E65B7">
        <w:t xml:space="preserve"> run over a number of years within this funding period or may be shorter in duration</w:t>
      </w:r>
      <w:r w:rsidRPr="006E65B7">
        <w:t>, but an appropriate timeline must be indicated</w:t>
      </w:r>
      <w:r w:rsidR="0072107C">
        <w:t xml:space="preserve"> </w:t>
      </w:r>
      <w:r w:rsidR="0072107C" w:rsidRPr="0072107C">
        <w:t xml:space="preserve">(with milestones recording expected progress). </w:t>
      </w:r>
    </w:p>
    <w:p w14:paraId="0B725A90" w14:textId="77777777" w:rsidR="006E65B7" w:rsidRPr="006E65B7" w:rsidRDefault="006E65B7" w:rsidP="007743E9">
      <w:pPr>
        <w:pStyle w:val="NormalWeb"/>
        <w:jc w:val="both"/>
      </w:pPr>
    </w:p>
    <w:p w14:paraId="3855F9A7" w14:textId="660C5400" w:rsidR="007743E9" w:rsidRDefault="00CA6AFF" w:rsidP="007743E9">
      <w:pPr>
        <w:pStyle w:val="NormalWeb"/>
        <w:jc w:val="both"/>
      </w:pPr>
      <w:r>
        <w:t>In the course of Year 2 (Nov 2024-Oct 2025)</w:t>
      </w:r>
      <w:r w:rsidR="00526193">
        <w:t xml:space="preserve"> </w:t>
      </w:r>
      <w:r>
        <w:t>t</w:t>
      </w:r>
      <w:r w:rsidR="006E65B7">
        <w:t xml:space="preserve">here will be separate calls for conference funding </w:t>
      </w:r>
      <w:r w:rsidR="006E65B7" w:rsidRPr="0028169C">
        <w:t>(to attend and speak at a high-level conference) and short-term scientific missions.</w:t>
      </w:r>
      <w:r w:rsidRPr="0028169C">
        <w:t xml:space="preserve"> We plan to issue a further call for project proposals in early summer 2025</w:t>
      </w:r>
      <w:r w:rsidR="00526193" w:rsidRPr="0028169C">
        <w:t>, depending on the needs of the Action and the funding landscape at that point</w:t>
      </w:r>
      <w:r w:rsidRPr="0028169C">
        <w:t>.</w:t>
      </w:r>
    </w:p>
    <w:p w14:paraId="1A7AE20B" w14:textId="77777777" w:rsidR="006E65B7" w:rsidRPr="006E65B7" w:rsidRDefault="006E65B7" w:rsidP="007743E9">
      <w:pPr>
        <w:pStyle w:val="NormalWeb"/>
        <w:jc w:val="both"/>
      </w:pPr>
    </w:p>
    <w:p w14:paraId="06E96B5E" w14:textId="14C2672B" w:rsidR="007743E9" w:rsidRPr="006E65B7" w:rsidRDefault="007743E9" w:rsidP="007743E9">
      <w:pPr>
        <w:pStyle w:val="NormalWeb"/>
        <w:jc w:val="both"/>
      </w:pPr>
      <w:r w:rsidRPr="006E65B7">
        <w:t xml:space="preserve">If your initial proposal is </w:t>
      </w:r>
      <w:r w:rsidR="0072107C" w:rsidRPr="006E65B7">
        <w:t>accepted,</w:t>
      </w:r>
      <w:r w:rsidRPr="006E65B7">
        <w:t xml:space="preserve"> we will </w:t>
      </w:r>
      <w:r w:rsidR="00526193">
        <w:t xml:space="preserve">then </w:t>
      </w:r>
      <w:r w:rsidRPr="006E65B7">
        <w:t xml:space="preserve">ask you to complete </w:t>
      </w:r>
      <w:r w:rsidRPr="00526193">
        <w:rPr>
          <w:u w:val="single"/>
        </w:rPr>
        <w:t>Section Two</w:t>
      </w:r>
      <w:r w:rsidRPr="006E65B7">
        <w:t xml:space="preserve"> below, to assist us in requesting funding from COST.</w:t>
      </w:r>
      <w:r w:rsidR="006E65B7">
        <w:t xml:space="preserve"> There is no need to fill that out now, but it is provided for your information.</w:t>
      </w:r>
      <w:r w:rsidRPr="006E65B7">
        <w:t xml:space="preserve"> No funding to support these projects is agreed until </w:t>
      </w:r>
      <w:r w:rsidR="006E65B7">
        <w:t>authorised</w:t>
      </w:r>
      <w:r w:rsidRPr="006E65B7">
        <w:t xml:space="preserve"> by the ImpleMendez Management Committee, and COST</w:t>
      </w:r>
      <w:r w:rsidR="0072107C">
        <w:t xml:space="preserve">, </w:t>
      </w:r>
      <w:r w:rsidR="0072107C" w:rsidRPr="0072107C">
        <w:t>and you have been formally notified of such approvals</w:t>
      </w:r>
      <w:r w:rsidRPr="006E65B7">
        <w:t xml:space="preserve">. </w:t>
      </w:r>
    </w:p>
    <w:p w14:paraId="3E77751B" w14:textId="77777777" w:rsidR="003D509C" w:rsidRDefault="003D509C" w:rsidP="00384AF1">
      <w:pPr>
        <w:pStyle w:val="NormalWeb"/>
        <w:rPr>
          <w:b/>
          <w:bCs/>
        </w:rPr>
      </w:pPr>
    </w:p>
    <w:p w14:paraId="251ABE51" w14:textId="77777777" w:rsidR="006E65B7" w:rsidRDefault="006E65B7" w:rsidP="00384AF1">
      <w:pPr>
        <w:pStyle w:val="NormalWeb"/>
        <w:rPr>
          <w:b/>
          <w:bCs/>
        </w:rPr>
      </w:pPr>
    </w:p>
    <w:p w14:paraId="3350AA14" w14:textId="77777777" w:rsidR="006E65B7" w:rsidRDefault="006E65B7" w:rsidP="00384AF1">
      <w:pPr>
        <w:pStyle w:val="NormalWeb"/>
        <w:rPr>
          <w:b/>
          <w:bCs/>
        </w:rPr>
      </w:pPr>
    </w:p>
    <w:p w14:paraId="7384DEA8" w14:textId="77777777" w:rsidR="006E65B7" w:rsidRDefault="006E65B7" w:rsidP="00384AF1">
      <w:pPr>
        <w:pStyle w:val="NormalWeb"/>
        <w:rPr>
          <w:b/>
          <w:bCs/>
        </w:rPr>
      </w:pPr>
    </w:p>
    <w:p w14:paraId="1D3177D9" w14:textId="5EA9D0F6" w:rsidR="00591DEB" w:rsidRPr="00591DEB" w:rsidRDefault="00591DEB" w:rsidP="00384AF1">
      <w:pPr>
        <w:pStyle w:val="NormalWeb"/>
        <w:rPr>
          <w:b/>
          <w:bCs/>
          <w:u w:val="single"/>
        </w:rPr>
      </w:pPr>
      <w:r w:rsidRPr="00591DEB">
        <w:rPr>
          <w:b/>
          <w:bCs/>
          <w:u w:val="single"/>
        </w:rPr>
        <w:t>Section One</w:t>
      </w:r>
    </w:p>
    <w:p w14:paraId="7AA67DA5" w14:textId="1AFE03A8" w:rsidR="003D509C" w:rsidRPr="006E65B7" w:rsidRDefault="003D509C" w:rsidP="006E65B7">
      <w:pPr>
        <w:pStyle w:val="NormalWeb"/>
        <w:numPr>
          <w:ilvl w:val="0"/>
          <w:numId w:val="10"/>
        </w:numPr>
        <w:rPr>
          <w:b/>
          <w:bCs/>
        </w:rPr>
      </w:pPr>
      <w:r w:rsidRPr="006E65B7">
        <w:rPr>
          <w:b/>
          <w:bCs/>
        </w:rPr>
        <w:t>Project</w:t>
      </w:r>
      <w:r w:rsidR="006E65B7">
        <w:rPr>
          <w:b/>
          <w:bCs/>
        </w:rPr>
        <w:t xml:space="preserve"> Title</w:t>
      </w:r>
      <w:r w:rsidRPr="006E65B7">
        <w:rPr>
          <w:b/>
          <w:bCs/>
        </w:rPr>
        <w:t>:</w:t>
      </w:r>
    </w:p>
    <w:p w14:paraId="495A6C42" w14:textId="77777777" w:rsidR="006E65B7" w:rsidRDefault="006E65B7" w:rsidP="00384AF1">
      <w:pPr>
        <w:pStyle w:val="NormalWeb"/>
        <w:rPr>
          <w:b/>
          <w:bCs/>
        </w:rPr>
      </w:pPr>
    </w:p>
    <w:p w14:paraId="3ABF3BAE" w14:textId="7092B41F" w:rsidR="003D509C" w:rsidRPr="006E65B7" w:rsidRDefault="003D509C" w:rsidP="006E65B7">
      <w:pPr>
        <w:pStyle w:val="NormalWeb"/>
        <w:numPr>
          <w:ilvl w:val="0"/>
          <w:numId w:val="10"/>
        </w:numPr>
        <w:rPr>
          <w:b/>
          <w:bCs/>
        </w:rPr>
      </w:pPr>
      <w:r w:rsidRPr="006E65B7">
        <w:rPr>
          <w:b/>
          <w:bCs/>
        </w:rPr>
        <w:t>Proposal Team</w:t>
      </w:r>
      <w:r w:rsidR="0072107C" w:rsidRPr="0072107C">
        <w:rPr>
          <w:rFonts w:asciiTheme="minorHAnsi" w:eastAsiaTheme="minorHAnsi" w:hAnsiTheme="minorHAnsi" w:cstheme="minorBidi"/>
          <w:b/>
          <w:bCs/>
          <w:kern w:val="2"/>
          <w:sz w:val="28"/>
          <w:szCs w:val="28"/>
          <w:lang w:eastAsia="en-US"/>
          <w14:ligatures w14:val="standardContextual"/>
        </w:rPr>
        <w:t xml:space="preserve"> </w:t>
      </w:r>
      <w:r w:rsidR="0072107C" w:rsidRPr="0072107C">
        <w:rPr>
          <w:b/>
          <w:bCs/>
        </w:rPr>
        <w:t>of ImpleMendez Members</w:t>
      </w:r>
      <w:r w:rsidRPr="006E65B7">
        <w:rPr>
          <w:b/>
          <w:bCs/>
        </w:rPr>
        <w:t xml:space="preserve"> (include names, institutional affiliation, and country):</w:t>
      </w:r>
    </w:p>
    <w:p w14:paraId="56E08C09" w14:textId="77777777" w:rsidR="00645688" w:rsidRDefault="00645688" w:rsidP="00384AF1">
      <w:pPr>
        <w:pStyle w:val="NormalWeb"/>
        <w:rPr>
          <w:b/>
          <w:bCs/>
        </w:rPr>
      </w:pPr>
    </w:p>
    <w:p w14:paraId="2AD32484" w14:textId="77777777" w:rsidR="009750B1" w:rsidRPr="006E65B7" w:rsidRDefault="009750B1" w:rsidP="00384AF1">
      <w:pPr>
        <w:pStyle w:val="NormalWeb"/>
        <w:rPr>
          <w:b/>
          <w:bCs/>
        </w:rPr>
      </w:pPr>
    </w:p>
    <w:p w14:paraId="7FEACF02" w14:textId="77777777" w:rsidR="00645688" w:rsidRPr="006E65B7" w:rsidRDefault="00645688" w:rsidP="00384AF1">
      <w:pPr>
        <w:pStyle w:val="NormalWeb"/>
        <w:rPr>
          <w:b/>
          <w:bCs/>
        </w:rPr>
      </w:pPr>
    </w:p>
    <w:p w14:paraId="22F2A56B" w14:textId="77777777" w:rsidR="00645688" w:rsidRPr="006E65B7" w:rsidRDefault="00645688" w:rsidP="00384AF1">
      <w:pPr>
        <w:pStyle w:val="NormalWeb"/>
        <w:rPr>
          <w:b/>
          <w:bCs/>
        </w:rPr>
      </w:pPr>
    </w:p>
    <w:p w14:paraId="46E6A520" w14:textId="7E9414E1" w:rsidR="003D509C" w:rsidRDefault="003D509C" w:rsidP="006E65B7">
      <w:pPr>
        <w:pStyle w:val="NormalWeb"/>
        <w:numPr>
          <w:ilvl w:val="0"/>
          <w:numId w:val="10"/>
        </w:numPr>
        <w:rPr>
          <w:b/>
          <w:bCs/>
        </w:rPr>
      </w:pPr>
      <w:r w:rsidRPr="006E65B7">
        <w:rPr>
          <w:b/>
          <w:bCs/>
        </w:rPr>
        <w:t>Outline your proposed project</w:t>
      </w:r>
      <w:r w:rsidR="007743E9" w:rsidRPr="006E65B7">
        <w:rPr>
          <w:b/>
          <w:bCs/>
        </w:rPr>
        <w:t xml:space="preserve"> (approx. 500-800 words)</w:t>
      </w:r>
      <w:r w:rsidRPr="006E65B7">
        <w:rPr>
          <w:b/>
          <w:bCs/>
        </w:rPr>
        <w:t>:</w:t>
      </w:r>
    </w:p>
    <w:p w14:paraId="66E472B8" w14:textId="77777777" w:rsidR="009750B1" w:rsidRDefault="009750B1" w:rsidP="009750B1">
      <w:pPr>
        <w:pStyle w:val="NormalWeb"/>
        <w:rPr>
          <w:b/>
          <w:bCs/>
        </w:rPr>
      </w:pPr>
    </w:p>
    <w:p w14:paraId="7896A70B" w14:textId="77777777" w:rsidR="009750B1" w:rsidRDefault="009750B1" w:rsidP="009750B1">
      <w:pPr>
        <w:pStyle w:val="NormalWeb"/>
        <w:rPr>
          <w:b/>
          <w:bCs/>
        </w:rPr>
      </w:pPr>
    </w:p>
    <w:p w14:paraId="1D8D789E" w14:textId="77777777" w:rsidR="009750B1" w:rsidRDefault="009750B1" w:rsidP="009750B1">
      <w:pPr>
        <w:pStyle w:val="NormalWeb"/>
        <w:rPr>
          <w:b/>
          <w:bCs/>
        </w:rPr>
      </w:pPr>
    </w:p>
    <w:p w14:paraId="0DD17E36" w14:textId="77777777" w:rsidR="009750B1" w:rsidRDefault="009750B1" w:rsidP="009750B1">
      <w:pPr>
        <w:pStyle w:val="NormalWeb"/>
        <w:rPr>
          <w:b/>
          <w:bCs/>
        </w:rPr>
      </w:pPr>
    </w:p>
    <w:p w14:paraId="0D72F532" w14:textId="77777777" w:rsidR="009750B1" w:rsidRDefault="009750B1" w:rsidP="009750B1">
      <w:pPr>
        <w:pStyle w:val="NormalWeb"/>
        <w:rPr>
          <w:b/>
          <w:bCs/>
        </w:rPr>
      </w:pPr>
    </w:p>
    <w:p w14:paraId="24E8EB41" w14:textId="47387052" w:rsidR="009750B1" w:rsidRPr="006E65B7" w:rsidRDefault="009750B1" w:rsidP="006E65B7">
      <w:pPr>
        <w:pStyle w:val="NormalWeb"/>
        <w:numPr>
          <w:ilvl w:val="0"/>
          <w:numId w:val="10"/>
        </w:numPr>
        <w:rPr>
          <w:b/>
          <w:bCs/>
        </w:rPr>
      </w:pPr>
      <w:r>
        <w:rPr>
          <w:b/>
          <w:bCs/>
        </w:rPr>
        <w:t>Detailed Timeline of proposed project:</w:t>
      </w:r>
    </w:p>
    <w:p w14:paraId="69A9EB46" w14:textId="77777777" w:rsidR="00645688" w:rsidRPr="006E65B7" w:rsidRDefault="00645688" w:rsidP="00384AF1">
      <w:pPr>
        <w:pStyle w:val="NormalWeb"/>
        <w:rPr>
          <w:b/>
          <w:bCs/>
        </w:rPr>
      </w:pPr>
    </w:p>
    <w:p w14:paraId="2CCDC868" w14:textId="77777777" w:rsidR="00645688" w:rsidRPr="006E65B7" w:rsidRDefault="00645688" w:rsidP="00384AF1">
      <w:pPr>
        <w:pStyle w:val="NormalWeb"/>
        <w:rPr>
          <w:b/>
          <w:bCs/>
        </w:rPr>
      </w:pPr>
    </w:p>
    <w:p w14:paraId="7AA3B4AE" w14:textId="77777777" w:rsidR="00645688" w:rsidRDefault="00645688" w:rsidP="00384AF1">
      <w:pPr>
        <w:pStyle w:val="NormalWeb"/>
        <w:rPr>
          <w:b/>
          <w:bCs/>
        </w:rPr>
      </w:pPr>
    </w:p>
    <w:p w14:paraId="2BB159A2" w14:textId="77777777" w:rsidR="009750B1" w:rsidRDefault="009750B1" w:rsidP="00384AF1">
      <w:pPr>
        <w:pStyle w:val="NormalWeb"/>
        <w:rPr>
          <w:b/>
          <w:bCs/>
        </w:rPr>
      </w:pPr>
    </w:p>
    <w:p w14:paraId="1E6C0392" w14:textId="77777777" w:rsidR="009750B1" w:rsidRDefault="009750B1" w:rsidP="00384AF1">
      <w:pPr>
        <w:pStyle w:val="NormalWeb"/>
        <w:rPr>
          <w:b/>
          <w:bCs/>
        </w:rPr>
      </w:pPr>
    </w:p>
    <w:p w14:paraId="7A3CEFA0" w14:textId="77777777" w:rsidR="009750B1" w:rsidRDefault="009750B1" w:rsidP="00384AF1">
      <w:pPr>
        <w:pStyle w:val="NormalWeb"/>
        <w:rPr>
          <w:b/>
          <w:bCs/>
        </w:rPr>
      </w:pPr>
    </w:p>
    <w:p w14:paraId="340C179B" w14:textId="77777777" w:rsidR="00645688" w:rsidRPr="006E65B7" w:rsidRDefault="00645688" w:rsidP="00384AF1">
      <w:pPr>
        <w:pStyle w:val="NormalWeb"/>
        <w:rPr>
          <w:b/>
          <w:bCs/>
        </w:rPr>
      </w:pPr>
    </w:p>
    <w:p w14:paraId="3DBEA17D" w14:textId="0C71197F" w:rsidR="00591DEB" w:rsidRDefault="00591DEB" w:rsidP="006E65B7">
      <w:pPr>
        <w:pStyle w:val="NormalWeb"/>
        <w:numPr>
          <w:ilvl w:val="0"/>
          <w:numId w:val="10"/>
        </w:numPr>
        <w:jc w:val="both"/>
        <w:rPr>
          <w:b/>
          <w:bCs/>
          <w:lang w:val="en-IE"/>
        </w:rPr>
      </w:pPr>
      <w:r>
        <w:rPr>
          <w:b/>
          <w:bCs/>
          <w:lang w:val="en-IE"/>
        </w:rPr>
        <w:t>List the Proposed Project Outputs</w:t>
      </w:r>
    </w:p>
    <w:p w14:paraId="19E223DA" w14:textId="77777777" w:rsidR="00591DEB" w:rsidRDefault="00591DEB" w:rsidP="00591DEB">
      <w:pPr>
        <w:pStyle w:val="NormalWeb"/>
        <w:jc w:val="both"/>
        <w:rPr>
          <w:b/>
          <w:bCs/>
          <w:lang w:val="en-IE"/>
        </w:rPr>
      </w:pPr>
    </w:p>
    <w:p w14:paraId="1C1F4075" w14:textId="77777777" w:rsidR="00591DEB" w:rsidRDefault="00591DEB" w:rsidP="00591DEB">
      <w:pPr>
        <w:pStyle w:val="NormalWeb"/>
        <w:jc w:val="both"/>
        <w:rPr>
          <w:b/>
          <w:bCs/>
          <w:lang w:val="en-IE"/>
        </w:rPr>
      </w:pPr>
    </w:p>
    <w:p w14:paraId="76763A34" w14:textId="77777777" w:rsidR="00591DEB" w:rsidRPr="00591DEB" w:rsidRDefault="00591DEB" w:rsidP="00591DEB">
      <w:pPr>
        <w:pStyle w:val="NormalWeb"/>
        <w:ind w:left="720"/>
        <w:jc w:val="both"/>
        <w:rPr>
          <w:b/>
          <w:bCs/>
          <w:lang w:val="en-IE"/>
        </w:rPr>
      </w:pPr>
    </w:p>
    <w:p w14:paraId="0E0F04CC" w14:textId="79D6BA86" w:rsidR="006E65B7" w:rsidRDefault="007743E9" w:rsidP="006E65B7">
      <w:pPr>
        <w:pStyle w:val="NormalWeb"/>
        <w:numPr>
          <w:ilvl w:val="0"/>
          <w:numId w:val="10"/>
        </w:numPr>
        <w:jc w:val="both"/>
        <w:rPr>
          <w:b/>
          <w:bCs/>
          <w:lang w:val="en-IE"/>
        </w:rPr>
      </w:pPr>
      <w:r w:rsidRPr="006E65B7">
        <w:rPr>
          <w:b/>
          <w:bCs/>
        </w:rPr>
        <w:t xml:space="preserve">The primary objective/aim of </w:t>
      </w:r>
      <w:r w:rsidRPr="006E65B7">
        <w:rPr>
          <w:b/>
          <w:bCs/>
          <w:i/>
          <w:iCs/>
        </w:rPr>
        <w:t>ImpleMendez</w:t>
      </w:r>
      <w:r w:rsidRPr="006E65B7">
        <w:rPr>
          <w:b/>
          <w:bCs/>
        </w:rPr>
        <w:t xml:space="preserve"> is to </w:t>
      </w:r>
      <w:r w:rsidR="006E65B7">
        <w:rPr>
          <w:b/>
          <w:bCs/>
        </w:rPr>
        <w:t>“</w:t>
      </w:r>
      <w:r w:rsidRPr="0072107C">
        <w:rPr>
          <w:b/>
          <w:bCs/>
          <w:u w:val="single"/>
          <w:lang w:val="en-IE"/>
        </w:rPr>
        <w:t xml:space="preserve">support, enable and progress various countries' developments towards full implementation of the Mendez </w:t>
      </w:r>
      <w:r w:rsidRPr="007743E9">
        <w:rPr>
          <w:b/>
          <w:bCs/>
          <w:u w:val="single"/>
          <w:lang w:val="en-IE"/>
        </w:rPr>
        <w:t>principles that underpin effective interviews for investigation and information gathering of criminal suspects,</w:t>
      </w:r>
      <w:r w:rsidRPr="0072107C">
        <w:rPr>
          <w:b/>
          <w:bCs/>
          <w:u w:val="single"/>
          <w:lang w:val="en-IE"/>
        </w:rPr>
        <w:t xml:space="preserve"> </w:t>
      </w:r>
      <w:r w:rsidRPr="007743E9">
        <w:rPr>
          <w:b/>
          <w:bCs/>
          <w:u w:val="single"/>
          <w:lang w:val="en-IE"/>
        </w:rPr>
        <w:t>victims and witnesses in line with science, law and ethical standards</w:t>
      </w:r>
      <w:r w:rsidRPr="0072107C">
        <w:rPr>
          <w:b/>
          <w:bCs/>
          <w:u w:val="single"/>
          <w:lang w:val="en-IE"/>
        </w:rPr>
        <w:t>.</w:t>
      </w:r>
      <w:r w:rsidR="006E65B7">
        <w:rPr>
          <w:b/>
          <w:bCs/>
          <w:lang w:val="en-IE"/>
        </w:rPr>
        <w:t>”</w:t>
      </w:r>
    </w:p>
    <w:p w14:paraId="7A1163A4" w14:textId="1DDEF94F" w:rsidR="003D509C" w:rsidRPr="006E65B7" w:rsidRDefault="003D509C" w:rsidP="006E65B7">
      <w:pPr>
        <w:pStyle w:val="NormalWeb"/>
        <w:ind w:left="720"/>
        <w:jc w:val="both"/>
        <w:rPr>
          <w:b/>
          <w:bCs/>
        </w:rPr>
      </w:pPr>
      <w:r w:rsidRPr="006E65B7">
        <w:rPr>
          <w:b/>
          <w:bCs/>
        </w:rPr>
        <w:t>How does this</w:t>
      </w:r>
      <w:r w:rsidR="007743E9" w:rsidRPr="006E65B7">
        <w:rPr>
          <w:b/>
          <w:bCs/>
        </w:rPr>
        <w:t xml:space="preserve"> proposed</w:t>
      </w:r>
      <w:r w:rsidRPr="006E65B7">
        <w:rPr>
          <w:b/>
          <w:bCs/>
        </w:rPr>
        <w:t xml:space="preserve"> project support th</w:t>
      </w:r>
      <w:r w:rsidR="007743E9" w:rsidRPr="006E65B7">
        <w:rPr>
          <w:b/>
          <w:bCs/>
        </w:rPr>
        <w:t>is primary</w:t>
      </w:r>
      <w:r w:rsidRPr="006E65B7">
        <w:rPr>
          <w:b/>
          <w:bCs/>
        </w:rPr>
        <w:t xml:space="preserve"> objective?</w:t>
      </w:r>
    </w:p>
    <w:p w14:paraId="43D2EB2B" w14:textId="77777777" w:rsidR="00645688" w:rsidRDefault="00645688" w:rsidP="00645688">
      <w:pPr>
        <w:pStyle w:val="NormalWeb"/>
        <w:jc w:val="both"/>
        <w:rPr>
          <w:b/>
          <w:bCs/>
        </w:rPr>
      </w:pPr>
    </w:p>
    <w:p w14:paraId="24525B55" w14:textId="77777777" w:rsidR="009750B1" w:rsidRDefault="009750B1" w:rsidP="00645688">
      <w:pPr>
        <w:pStyle w:val="NormalWeb"/>
        <w:jc w:val="both"/>
        <w:rPr>
          <w:b/>
          <w:bCs/>
        </w:rPr>
      </w:pPr>
    </w:p>
    <w:p w14:paraId="74BBCA98" w14:textId="77777777" w:rsidR="009750B1" w:rsidRPr="006E65B7" w:rsidRDefault="009750B1" w:rsidP="00645688">
      <w:pPr>
        <w:pStyle w:val="NormalWeb"/>
        <w:jc w:val="both"/>
        <w:rPr>
          <w:b/>
          <w:bCs/>
        </w:rPr>
      </w:pPr>
    </w:p>
    <w:p w14:paraId="32699127" w14:textId="62BB95E9" w:rsidR="007743E9" w:rsidRPr="006E65B7" w:rsidRDefault="006E65B7" w:rsidP="006E65B7">
      <w:pPr>
        <w:pStyle w:val="NormalWeb"/>
        <w:numPr>
          <w:ilvl w:val="0"/>
          <w:numId w:val="10"/>
        </w:numPr>
        <w:rPr>
          <w:b/>
          <w:bCs/>
        </w:rPr>
      </w:pPr>
      <w:r>
        <w:rPr>
          <w:b/>
          <w:bCs/>
        </w:rPr>
        <w:t>List the main</w:t>
      </w:r>
      <w:r w:rsidR="007743E9" w:rsidRPr="006E65B7">
        <w:rPr>
          <w:b/>
          <w:bCs/>
        </w:rPr>
        <w:t xml:space="preserve"> </w:t>
      </w:r>
      <w:r w:rsidR="0072107C">
        <w:rPr>
          <w:b/>
          <w:bCs/>
        </w:rPr>
        <w:t xml:space="preserve">external </w:t>
      </w:r>
      <w:r w:rsidR="007743E9" w:rsidRPr="006E65B7">
        <w:rPr>
          <w:b/>
          <w:bCs/>
        </w:rPr>
        <w:t xml:space="preserve">stakeholders </w:t>
      </w:r>
      <w:r>
        <w:rPr>
          <w:b/>
          <w:bCs/>
        </w:rPr>
        <w:t xml:space="preserve">that </w:t>
      </w:r>
      <w:r w:rsidR="007743E9" w:rsidRPr="006E65B7">
        <w:rPr>
          <w:b/>
          <w:bCs/>
        </w:rPr>
        <w:t>will be engaged in this project</w:t>
      </w:r>
      <w:r>
        <w:rPr>
          <w:b/>
          <w:bCs/>
        </w:rPr>
        <w:t>.</w:t>
      </w:r>
    </w:p>
    <w:p w14:paraId="635408D4" w14:textId="77777777" w:rsidR="00645688" w:rsidRPr="006E65B7" w:rsidRDefault="00645688" w:rsidP="007743E9">
      <w:pPr>
        <w:pStyle w:val="NormalWeb"/>
        <w:rPr>
          <w:b/>
          <w:bCs/>
        </w:rPr>
      </w:pPr>
    </w:p>
    <w:p w14:paraId="1AB33A79" w14:textId="77777777" w:rsidR="00645688" w:rsidRDefault="00645688" w:rsidP="007743E9">
      <w:pPr>
        <w:pStyle w:val="NormalWeb"/>
        <w:rPr>
          <w:b/>
          <w:bCs/>
        </w:rPr>
      </w:pPr>
    </w:p>
    <w:p w14:paraId="4557274B" w14:textId="77777777" w:rsidR="009750B1" w:rsidRDefault="009750B1" w:rsidP="007743E9">
      <w:pPr>
        <w:pStyle w:val="NormalWeb"/>
        <w:rPr>
          <w:b/>
          <w:bCs/>
        </w:rPr>
      </w:pPr>
    </w:p>
    <w:p w14:paraId="6836BA61" w14:textId="77777777" w:rsidR="009750B1" w:rsidRPr="006E65B7" w:rsidRDefault="009750B1" w:rsidP="007743E9">
      <w:pPr>
        <w:pStyle w:val="NormalWeb"/>
        <w:rPr>
          <w:b/>
          <w:bCs/>
        </w:rPr>
      </w:pPr>
    </w:p>
    <w:p w14:paraId="17F21991" w14:textId="77777777" w:rsidR="00645688" w:rsidRPr="006E65B7" w:rsidRDefault="00645688" w:rsidP="007743E9">
      <w:pPr>
        <w:pStyle w:val="NormalWeb"/>
        <w:rPr>
          <w:b/>
          <w:bCs/>
        </w:rPr>
      </w:pPr>
    </w:p>
    <w:p w14:paraId="58386484" w14:textId="77777777" w:rsidR="006E65B7" w:rsidRDefault="007743E9" w:rsidP="006E65B7">
      <w:pPr>
        <w:pStyle w:val="NormalWeb"/>
        <w:numPr>
          <w:ilvl w:val="0"/>
          <w:numId w:val="10"/>
        </w:numPr>
        <w:jc w:val="both"/>
        <w:rPr>
          <w:b/>
          <w:bCs/>
        </w:rPr>
      </w:pPr>
      <w:r w:rsidRPr="006E65B7">
        <w:rPr>
          <w:b/>
          <w:bCs/>
        </w:rPr>
        <w:t xml:space="preserve">You will need to provide a statement from these stakeholders at the end of the project which will indicate how the project has impacted on their work/practice/policy. </w:t>
      </w:r>
    </w:p>
    <w:p w14:paraId="1174B85C" w14:textId="60EDC2DB" w:rsidR="007743E9" w:rsidRPr="006E65B7" w:rsidRDefault="006E65B7" w:rsidP="006E65B7">
      <w:pPr>
        <w:pStyle w:val="NormalWeb"/>
        <w:ind w:left="720"/>
        <w:rPr>
          <w:b/>
          <w:bCs/>
        </w:rPr>
      </w:pPr>
      <w:r>
        <w:rPr>
          <w:b/>
          <w:bCs/>
        </w:rPr>
        <w:t>How do you expect this project to impact on the listed stakeholders?</w:t>
      </w:r>
    </w:p>
    <w:p w14:paraId="4630A149" w14:textId="77777777" w:rsidR="00645688" w:rsidRDefault="00645688" w:rsidP="00384AF1">
      <w:pPr>
        <w:pStyle w:val="NormalWeb"/>
        <w:rPr>
          <w:b/>
          <w:bCs/>
        </w:rPr>
      </w:pPr>
    </w:p>
    <w:p w14:paraId="6CB069D6" w14:textId="583CDB5E" w:rsidR="00F83E09" w:rsidRPr="006E65B7" w:rsidRDefault="00F83E09" w:rsidP="006E65B7">
      <w:pPr>
        <w:pStyle w:val="NormalWeb"/>
        <w:numPr>
          <w:ilvl w:val="0"/>
          <w:numId w:val="10"/>
        </w:numPr>
        <w:jc w:val="both"/>
        <w:rPr>
          <w:b/>
          <w:bCs/>
        </w:rPr>
      </w:pPr>
      <w:r w:rsidRPr="006E65B7">
        <w:rPr>
          <w:b/>
          <w:bCs/>
        </w:rPr>
        <w:lastRenderedPageBreak/>
        <w:t xml:space="preserve">Which </w:t>
      </w:r>
      <w:r w:rsidR="006E65B7">
        <w:rPr>
          <w:b/>
          <w:bCs/>
        </w:rPr>
        <w:t xml:space="preserve">ImpleMendez Working Group </w:t>
      </w:r>
      <w:r w:rsidRPr="006E65B7">
        <w:rPr>
          <w:b/>
          <w:bCs/>
        </w:rPr>
        <w:t xml:space="preserve">is most </w:t>
      </w:r>
      <w:r w:rsidR="00591DEB">
        <w:rPr>
          <w:b/>
          <w:bCs/>
        </w:rPr>
        <w:t>closely</w:t>
      </w:r>
      <w:r w:rsidRPr="006E65B7">
        <w:rPr>
          <w:b/>
          <w:bCs/>
        </w:rPr>
        <w:t xml:space="preserve"> aligned with this project?</w:t>
      </w:r>
      <w:r w:rsidR="006E65B7">
        <w:rPr>
          <w:b/>
          <w:bCs/>
        </w:rPr>
        <w:t xml:space="preserve"> </w:t>
      </w:r>
      <w:r w:rsidR="006E65B7" w:rsidRPr="006E65B7">
        <w:rPr>
          <w:b/>
          <w:bCs/>
          <w:i/>
          <w:iCs/>
        </w:rPr>
        <w:t>(Some projects may cross-cut a number of Working Groups. This can be stated here but it is still important to suggest the main alignment with just one Working Group.)</w:t>
      </w:r>
    </w:p>
    <w:p w14:paraId="140EC949" w14:textId="77777777" w:rsidR="00645688" w:rsidRPr="006E65B7" w:rsidRDefault="00645688" w:rsidP="007743E9">
      <w:pPr>
        <w:pStyle w:val="NormalWeb"/>
        <w:rPr>
          <w:b/>
          <w:bCs/>
        </w:rPr>
      </w:pPr>
    </w:p>
    <w:p w14:paraId="168BC9D8" w14:textId="77777777" w:rsidR="00645688" w:rsidRPr="006E65B7" w:rsidRDefault="00645688" w:rsidP="007743E9">
      <w:pPr>
        <w:pStyle w:val="NormalWeb"/>
        <w:rPr>
          <w:b/>
          <w:bCs/>
        </w:rPr>
      </w:pPr>
    </w:p>
    <w:p w14:paraId="05C8903F" w14:textId="77777777" w:rsidR="00645688" w:rsidRPr="006E65B7" w:rsidRDefault="00645688" w:rsidP="007743E9">
      <w:pPr>
        <w:pStyle w:val="NormalWeb"/>
        <w:rPr>
          <w:b/>
          <w:bCs/>
        </w:rPr>
      </w:pPr>
    </w:p>
    <w:p w14:paraId="0CC86AB9" w14:textId="77777777" w:rsidR="00645688" w:rsidRPr="006E65B7" w:rsidRDefault="00645688" w:rsidP="007743E9">
      <w:pPr>
        <w:pStyle w:val="NormalWeb"/>
        <w:rPr>
          <w:b/>
          <w:bCs/>
        </w:rPr>
      </w:pPr>
    </w:p>
    <w:p w14:paraId="4B1CF36C" w14:textId="0BCB2EA0" w:rsidR="007743E9" w:rsidRPr="006E65B7" w:rsidRDefault="007743E9" w:rsidP="006E65B7">
      <w:pPr>
        <w:pStyle w:val="NormalWeb"/>
        <w:numPr>
          <w:ilvl w:val="0"/>
          <w:numId w:val="10"/>
        </w:numPr>
        <w:rPr>
          <w:b/>
          <w:bCs/>
        </w:rPr>
      </w:pPr>
      <w:r w:rsidRPr="006E65B7">
        <w:rPr>
          <w:b/>
          <w:bCs/>
        </w:rPr>
        <w:t>Tick each of the ImpleMendez s</w:t>
      </w:r>
      <w:r w:rsidRPr="007743E9">
        <w:rPr>
          <w:b/>
          <w:bCs/>
        </w:rPr>
        <w:t xml:space="preserve">econdary </w:t>
      </w:r>
      <w:r w:rsidRPr="006E65B7">
        <w:rPr>
          <w:b/>
          <w:bCs/>
        </w:rPr>
        <w:t>o</w:t>
      </w:r>
      <w:r w:rsidRPr="007743E9">
        <w:rPr>
          <w:b/>
          <w:bCs/>
        </w:rPr>
        <w:t>bjectives</w:t>
      </w:r>
      <w:r w:rsidRPr="006E65B7">
        <w:rPr>
          <w:b/>
          <w:bCs/>
        </w:rPr>
        <w:t xml:space="preserve"> which will be satisfied by your proposed project:</w:t>
      </w:r>
    </w:p>
    <w:tbl>
      <w:tblPr>
        <w:tblStyle w:val="TableGrid"/>
        <w:tblW w:w="0" w:type="auto"/>
        <w:tblLook w:val="04A0" w:firstRow="1" w:lastRow="0" w:firstColumn="1" w:lastColumn="0" w:noHBand="0" w:noVBand="1"/>
      </w:tblPr>
      <w:tblGrid>
        <w:gridCol w:w="7792"/>
        <w:gridCol w:w="1224"/>
      </w:tblGrid>
      <w:tr w:rsidR="00645688" w:rsidRPr="006E65B7" w14:paraId="3FC4BF37" w14:textId="77777777" w:rsidTr="00645688">
        <w:tc>
          <w:tcPr>
            <w:tcW w:w="7792" w:type="dxa"/>
          </w:tcPr>
          <w:p w14:paraId="19C6282F" w14:textId="30190EC9" w:rsidR="00645688" w:rsidRPr="006E65B7" w:rsidRDefault="00645688" w:rsidP="006E65B7">
            <w:pPr>
              <w:pStyle w:val="NormalWeb"/>
              <w:ind w:left="75"/>
              <w:jc w:val="both"/>
              <w:rPr>
                <w:lang w:val="en-IE"/>
              </w:rPr>
            </w:pPr>
            <w:r w:rsidRPr="007743E9">
              <w:rPr>
                <w:lang w:val="en-IE"/>
              </w:rPr>
              <w:t>1. Develop a strategic framework for investigation transformation (FIT), underpinning the Mendez</w:t>
            </w:r>
            <w:r w:rsidRPr="006E65B7">
              <w:rPr>
                <w:lang w:val="en-IE"/>
              </w:rPr>
              <w:t xml:space="preserve"> </w:t>
            </w:r>
            <w:r w:rsidRPr="007743E9">
              <w:rPr>
                <w:lang w:val="en-IE"/>
              </w:rPr>
              <w:t>Principles that is agreed through collaboration with networks of researchers, practitioners and policy</w:t>
            </w:r>
            <w:r w:rsidRPr="006E65B7">
              <w:rPr>
                <w:lang w:val="en-IE"/>
              </w:rPr>
              <w:t xml:space="preserve"> </w:t>
            </w:r>
            <w:r w:rsidRPr="007743E9">
              <w:rPr>
                <w:lang w:val="en-IE"/>
              </w:rPr>
              <w:t>makers including countries yet to fully adopt those principles.</w:t>
            </w:r>
          </w:p>
        </w:tc>
        <w:tc>
          <w:tcPr>
            <w:tcW w:w="1224" w:type="dxa"/>
          </w:tcPr>
          <w:p w14:paraId="62004786" w14:textId="77777777" w:rsidR="00645688" w:rsidRPr="006E65B7" w:rsidRDefault="00645688" w:rsidP="007743E9">
            <w:pPr>
              <w:pStyle w:val="NormalWeb"/>
              <w:rPr>
                <w:b/>
                <w:bCs/>
              </w:rPr>
            </w:pPr>
          </w:p>
        </w:tc>
      </w:tr>
      <w:tr w:rsidR="00645688" w:rsidRPr="006E65B7" w14:paraId="653B92AE" w14:textId="77777777" w:rsidTr="00645688">
        <w:tc>
          <w:tcPr>
            <w:tcW w:w="7792" w:type="dxa"/>
          </w:tcPr>
          <w:p w14:paraId="79E86B28" w14:textId="4C58F7B5" w:rsidR="00645688" w:rsidRPr="006E65B7" w:rsidRDefault="00645688" w:rsidP="006E65B7">
            <w:pPr>
              <w:pStyle w:val="NormalWeb"/>
              <w:ind w:left="75"/>
              <w:jc w:val="both"/>
              <w:rPr>
                <w:lang w:val="en-IE"/>
              </w:rPr>
            </w:pPr>
            <w:r w:rsidRPr="007743E9">
              <w:rPr>
                <w:lang w:val="en-IE"/>
              </w:rPr>
              <w:t>2. Develop adapted models of investigative interviewing, jointly with stakeholders that accommodate</w:t>
            </w:r>
            <w:r w:rsidRPr="006E65B7">
              <w:rPr>
                <w:lang w:val="en-IE"/>
              </w:rPr>
              <w:t xml:space="preserve"> </w:t>
            </w:r>
            <w:r w:rsidRPr="007743E9">
              <w:rPr>
                <w:lang w:val="en-IE"/>
              </w:rPr>
              <w:t>local contexts/cultures but do not distort the Mendez Principles, and continue to observe law, ethics</w:t>
            </w:r>
            <w:r w:rsidRPr="006E65B7">
              <w:rPr>
                <w:lang w:val="en-IE"/>
              </w:rPr>
              <w:t xml:space="preserve"> </w:t>
            </w:r>
            <w:r w:rsidRPr="007743E9">
              <w:rPr>
                <w:lang w:val="en-IE"/>
              </w:rPr>
              <w:t>and science</w:t>
            </w:r>
          </w:p>
        </w:tc>
        <w:tc>
          <w:tcPr>
            <w:tcW w:w="1224" w:type="dxa"/>
          </w:tcPr>
          <w:p w14:paraId="6463D6FD" w14:textId="77777777" w:rsidR="00645688" w:rsidRPr="006E65B7" w:rsidRDefault="00645688" w:rsidP="007743E9">
            <w:pPr>
              <w:pStyle w:val="NormalWeb"/>
              <w:rPr>
                <w:b/>
                <w:bCs/>
              </w:rPr>
            </w:pPr>
          </w:p>
        </w:tc>
      </w:tr>
      <w:tr w:rsidR="00645688" w:rsidRPr="006E65B7" w14:paraId="2853922D" w14:textId="77777777" w:rsidTr="00645688">
        <w:tc>
          <w:tcPr>
            <w:tcW w:w="7792" w:type="dxa"/>
          </w:tcPr>
          <w:p w14:paraId="39771732" w14:textId="0C23A78F" w:rsidR="00645688" w:rsidRPr="006E65B7" w:rsidRDefault="00645688" w:rsidP="006E65B7">
            <w:pPr>
              <w:pStyle w:val="NormalWeb"/>
              <w:ind w:left="75"/>
              <w:jc w:val="both"/>
              <w:rPr>
                <w:lang w:val="en-IE"/>
              </w:rPr>
            </w:pPr>
            <w:r w:rsidRPr="007743E9">
              <w:rPr>
                <w:lang w:val="en-IE"/>
              </w:rPr>
              <w:t>3. Promote the development of Mendez Centres of Interviewing Excellence</w:t>
            </w:r>
          </w:p>
        </w:tc>
        <w:tc>
          <w:tcPr>
            <w:tcW w:w="1224" w:type="dxa"/>
          </w:tcPr>
          <w:p w14:paraId="28C1A7EA" w14:textId="77777777" w:rsidR="00645688" w:rsidRPr="006E65B7" w:rsidRDefault="00645688" w:rsidP="007743E9">
            <w:pPr>
              <w:pStyle w:val="NormalWeb"/>
              <w:rPr>
                <w:b/>
                <w:bCs/>
              </w:rPr>
            </w:pPr>
          </w:p>
        </w:tc>
      </w:tr>
      <w:tr w:rsidR="00645688" w:rsidRPr="006E65B7" w14:paraId="792056E6" w14:textId="77777777" w:rsidTr="00645688">
        <w:tc>
          <w:tcPr>
            <w:tcW w:w="7792" w:type="dxa"/>
          </w:tcPr>
          <w:p w14:paraId="291B9DD8" w14:textId="4EDFD365" w:rsidR="00645688" w:rsidRPr="006E65B7" w:rsidRDefault="00645688" w:rsidP="006E65B7">
            <w:pPr>
              <w:pStyle w:val="NormalWeb"/>
              <w:ind w:left="75"/>
              <w:jc w:val="both"/>
              <w:rPr>
                <w:lang w:val="en-IE"/>
              </w:rPr>
            </w:pPr>
            <w:r w:rsidRPr="007743E9">
              <w:rPr>
                <w:lang w:val="en-IE"/>
              </w:rPr>
              <w:t>4. Promote agreed frameworks for investigation transformation (FITs) for implementation of the Mendez</w:t>
            </w:r>
            <w:r w:rsidRPr="006E65B7">
              <w:rPr>
                <w:lang w:val="en-IE"/>
              </w:rPr>
              <w:t xml:space="preserve"> </w:t>
            </w:r>
            <w:r w:rsidRPr="007743E9">
              <w:rPr>
                <w:lang w:val="en-IE"/>
              </w:rPr>
              <w:t>principles in place, pathways and the formulation of models of investigative interviewing and involving</w:t>
            </w:r>
            <w:r w:rsidRPr="006E65B7">
              <w:rPr>
                <w:lang w:val="en-IE"/>
              </w:rPr>
              <w:t xml:space="preserve"> </w:t>
            </w:r>
            <w:r w:rsidRPr="007743E9">
              <w:rPr>
                <w:lang w:val="en-IE"/>
              </w:rPr>
              <w:t>any required adaptations of the Mendez Principles.</w:t>
            </w:r>
          </w:p>
        </w:tc>
        <w:tc>
          <w:tcPr>
            <w:tcW w:w="1224" w:type="dxa"/>
          </w:tcPr>
          <w:p w14:paraId="2383249D" w14:textId="77777777" w:rsidR="00645688" w:rsidRPr="006E65B7" w:rsidRDefault="00645688" w:rsidP="007743E9">
            <w:pPr>
              <w:pStyle w:val="NormalWeb"/>
              <w:rPr>
                <w:b/>
                <w:bCs/>
              </w:rPr>
            </w:pPr>
          </w:p>
        </w:tc>
      </w:tr>
      <w:tr w:rsidR="00645688" w:rsidRPr="006E65B7" w14:paraId="3C86F29C" w14:textId="77777777" w:rsidTr="00645688">
        <w:tc>
          <w:tcPr>
            <w:tcW w:w="7792" w:type="dxa"/>
          </w:tcPr>
          <w:p w14:paraId="68B2BAC6" w14:textId="7BBD973D" w:rsidR="00645688" w:rsidRPr="006E65B7" w:rsidRDefault="00645688" w:rsidP="006E65B7">
            <w:pPr>
              <w:pStyle w:val="NormalWeb"/>
              <w:ind w:left="75"/>
              <w:jc w:val="both"/>
              <w:rPr>
                <w:lang w:val="en-IE"/>
              </w:rPr>
            </w:pPr>
            <w:r w:rsidRPr="007743E9">
              <w:rPr>
                <w:lang w:val="en-IE"/>
              </w:rPr>
              <w:t>5. Disseminate agreed methodologies and tools that are consistent with the Mendez Principles to assist</w:t>
            </w:r>
            <w:r w:rsidRPr="006E65B7">
              <w:rPr>
                <w:lang w:val="en-IE"/>
              </w:rPr>
              <w:t xml:space="preserve"> </w:t>
            </w:r>
            <w:r w:rsidRPr="007743E9">
              <w:rPr>
                <w:lang w:val="en-IE"/>
              </w:rPr>
              <w:t>in the implementation of those Principles</w:t>
            </w:r>
          </w:p>
        </w:tc>
        <w:tc>
          <w:tcPr>
            <w:tcW w:w="1224" w:type="dxa"/>
          </w:tcPr>
          <w:p w14:paraId="2BB43CA3" w14:textId="77777777" w:rsidR="00645688" w:rsidRPr="006E65B7" w:rsidRDefault="00645688" w:rsidP="007743E9">
            <w:pPr>
              <w:pStyle w:val="NormalWeb"/>
              <w:rPr>
                <w:b/>
                <w:bCs/>
              </w:rPr>
            </w:pPr>
          </w:p>
        </w:tc>
      </w:tr>
      <w:tr w:rsidR="00645688" w:rsidRPr="006E65B7" w14:paraId="5429E313" w14:textId="77777777" w:rsidTr="00645688">
        <w:tc>
          <w:tcPr>
            <w:tcW w:w="7792" w:type="dxa"/>
          </w:tcPr>
          <w:p w14:paraId="201629C2" w14:textId="033E572B" w:rsidR="00645688" w:rsidRPr="006E65B7" w:rsidRDefault="00645688" w:rsidP="007743E9">
            <w:pPr>
              <w:pStyle w:val="NormalWeb"/>
              <w:rPr>
                <w:b/>
                <w:bCs/>
              </w:rPr>
            </w:pPr>
            <w:r w:rsidRPr="007743E9">
              <w:rPr>
                <w:lang w:val="en-IE"/>
              </w:rPr>
              <w:t>6. Build a networking structure that creates ‘an ecosystem for learning’ to implement the Mendez</w:t>
            </w:r>
            <w:r w:rsidRPr="006E65B7">
              <w:rPr>
                <w:lang w:val="en-IE"/>
              </w:rPr>
              <w:t xml:space="preserve"> </w:t>
            </w:r>
            <w:r w:rsidRPr="007743E9">
              <w:rPr>
                <w:lang w:val="en-IE"/>
              </w:rPr>
              <w:t>Principles, appropriately incorporating legal frameworks, policies that support ethical interviewing,</w:t>
            </w:r>
            <w:r w:rsidRPr="006E65B7">
              <w:rPr>
                <w:lang w:val="en-IE"/>
              </w:rPr>
              <w:t xml:space="preserve"> </w:t>
            </w:r>
            <w:r w:rsidRPr="007743E9">
              <w:rPr>
                <w:lang w:val="en-IE"/>
              </w:rPr>
              <w:t>standards that are transparent and accountable, institutional leadership, training, guidance and</w:t>
            </w:r>
            <w:r w:rsidRPr="006E65B7">
              <w:rPr>
                <w:lang w:val="en-IE"/>
              </w:rPr>
              <w:t xml:space="preserve"> </w:t>
            </w:r>
            <w:r w:rsidRPr="007743E9">
              <w:rPr>
                <w:lang w:val="en-IE"/>
              </w:rPr>
              <w:t>support, and a research evidence base</w:t>
            </w:r>
          </w:p>
        </w:tc>
        <w:tc>
          <w:tcPr>
            <w:tcW w:w="1224" w:type="dxa"/>
          </w:tcPr>
          <w:p w14:paraId="0D4CBE36" w14:textId="77777777" w:rsidR="00645688" w:rsidRPr="006E65B7" w:rsidRDefault="00645688" w:rsidP="007743E9">
            <w:pPr>
              <w:pStyle w:val="NormalWeb"/>
              <w:rPr>
                <w:b/>
                <w:bCs/>
              </w:rPr>
            </w:pPr>
          </w:p>
        </w:tc>
      </w:tr>
      <w:tr w:rsidR="00645688" w:rsidRPr="006E65B7" w14:paraId="34AC41BC" w14:textId="77777777" w:rsidTr="00645688">
        <w:tc>
          <w:tcPr>
            <w:tcW w:w="7792" w:type="dxa"/>
          </w:tcPr>
          <w:p w14:paraId="65F9385A" w14:textId="335FFF4A" w:rsidR="00645688" w:rsidRPr="006E65B7" w:rsidRDefault="00645688" w:rsidP="006E65B7">
            <w:pPr>
              <w:pStyle w:val="NormalWeb"/>
              <w:ind w:left="75"/>
              <w:jc w:val="both"/>
              <w:rPr>
                <w:b/>
                <w:bCs/>
              </w:rPr>
            </w:pPr>
            <w:r w:rsidRPr="007743E9">
              <w:rPr>
                <w:lang w:val="en-IE"/>
              </w:rPr>
              <w:t>7. Through development of a matrix of FITs, build and support regional and in-country networks of</w:t>
            </w:r>
            <w:r w:rsidRPr="006E65B7">
              <w:rPr>
                <w:lang w:val="en-IE"/>
              </w:rPr>
              <w:t xml:space="preserve"> </w:t>
            </w:r>
            <w:r w:rsidRPr="007743E9">
              <w:rPr>
                <w:lang w:val="en-IE"/>
              </w:rPr>
              <w:t>researchers, practitioners and policy makers that help strengthen the pillars of the ecosystem</w:t>
            </w:r>
            <w:r w:rsidRPr="006E65B7">
              <w:rPr>
                <w:lang w:val="en-IE"/>
              </w:rPr>
              <w:t xml:space="preserve"> </w:t>
            </w:r>
          </w:p>
        </w:tc>
        <w:tc>
          <w:tcPr>
            <w:tcW w:w="1224" w:type="dxa"/>
          </w:tcPr>
          <w:p w14:paraId="24F3B67B" w14:textId="77777777" w:rsidR="00645688" w:rsidRPr="006E65B7" w:rsidRDefault="00645688" w:rsidP="007743E9">
            <w:pPr>
              <w:pStyle w:val="NormalWeb"/>
              <w:rPr>
                <w:b/>
                <w:bCs/>
              </w:rPr>
            </w:pPr>
          </w:p>
        </w:tc>
      </w:tr>
      <w:tr w:rsidR="00645688" w:rsidRPr="006E65B7" w14:paraId="02B818AA" w14:textId="77777777" w:rsidTr="00645688">
        <w:tc>
          <w:tcPr>
            <w:tcW w:w="7792" w:type="dxa"/>
          </w:tcPr>
          <w:p w14:paraId="4F6293DA" w14:textId="6C750AB1" w:rsidR="00645688" w:rsidRPr="006E65B7" w:rsidRDefault="00645688" w:rsidP="007743E9">
            <w:pPr>
              <w:pStyle w:val="NormalWeb"/>
              <w:rPr>
                <w:b/>
                <w:bCs/>
              </w:rPr>
            </w:pPr>
            <w:r w:rsidRPr="007743E9">
              <w:rPr>
                <w:lang w:val="en-IE"/>
              </w:rPr>
              <w:t>8. Promote the development and strengthening of capacity building skills and tools to investigators,</w:t>
            </w:r>
            <w:r w:rsidRPr="006E65B7">
              <w:rPr>
                <w:lang w:val="en-IE"/>
              </w:rPr>
              <w:t xml:space="preserve"> </w:t>
            </w:r>
            <w:r w:rsidRPr="007743E9">
              <w:rPr>
                <w:lang w:val="en-IE"/>
              </w:rPr>
              <w:t>defense and prosecution lawyers as well as judges, to undertake their roles professionally, while</w:t>
            </w:r>
            <w:r w:rsidRPr="006E65B7">
              <w:rPr>
                <w:lang w:val="en-IE"/>
              </w:rPr>
              <w:t xml:space="preserve"> </w:t>
            </w:r>
            <w:r w:rsidRPr="007743E9">
              <w:rPr>
                <w:lang w:val="en-IE"/>
              </w:rPr>
              <w:t>increasing their awareness and understanding of the Mendez Principles and ethical interviewing</w:t>
            </w:r>
          </w:p>
        </w:tc>
        <w:tc>
          <w:tcPr>
            <w:tcW w:w="1224" w:type="dxa"/>
          </w:tcPr>
          <w:p w14:paraId="13CEE1C6" w14:textId="77777777" w:rsidR="00645688" w:rsidRPr="006E65B7" w:rsidRDefault="00645688" w:rsidP="007743E9">
            <w:pPr>
              <w:pStyle w:val="NormalWeb"/>
              <w:rPr>
                <w:b/>
                <w:bCs/>
              </w:rPr>
            </w:pPr>
          </w:p>
        </w:tc>
      </w:tr>
      <w:tr w:rsidR="00645688" w:rsidRPr="006E65B7" w14:paraId="5A0CD878" w14:textId="77777777" w:rsidTr="00645688">
        <w:tc>
          <w:tcPr>
            <w:tcW w:w="7792" w:type="dxa"/>
          </w:tcPr>
          <w:p w14:paraId="3A90E057" w14:textId="04D184BD" w:rsidR="00645688" w:rsidRPr="006E65B7" w:rsidRDefault="00645688" w:rsidP="006E65B7">
            <w:pPr>
              <w:pStyle w:val="NormalWeb"/>
              <w:jc w:val="both"/>
              <w:rPr>
                <w:lang w:val="en-IE"/>
              </w:rPr>
            </w:pPr>
            <w:r w:rsidRPr="007743E9">
              <w:rPr>
                <w:lang w:val="en-IE"/>
              </w:rPr>
              <w:t>9. Promote the Mendez Centres of Interviewing Excellence to act as hubs and repositories for resources</w:t>
            </w:r>
            <w:r w:rsidRPr="006E65B7">
              <w:rPr>
                <w:lang w:val="en-IE"/>
              </w:rPr>
              <w:t xml:space="preserve"> </w:t>
            </w:r>
            <w:r w:rsidRPr="007743E9">
              <w:rPr>
                <w:lang w:val="en-IE"/>
              </w:rPr>
              <w:t>for multiple and multi-country stakeholders, to share experiences, sustain resilience during and</w:t>
            </w:r>
            <w:r w:rsidRPr="006E65B7">
              <w:rPr>
                <w:lang w:val="en-IE"/>
              </w:rPr>
              <w:t xml:space="preserve"> </w:t>
            </w:r>
            <w:r w:rsidRPr="007743E9">
              <w:rPr>
                <w:lang w:val="en-IE"/>
              </w:rPr>
              <w:t xml:space="preserve">beyond implementation of the </w:t>
            </w:r>
            <w:r w:rsidRPr="007743E9">
              <w:rPr>
                <w:lang w:val="en-IE"/>
              </w:rPr>
              <w:lastRenderedPageBreak/>
              <w:t>Mendez Principles, and help advance science, policy and practice</w:t>
            </w:r>
            <w:r w:rsidRPr="006E65B7">
              <w:rPr>
                <w:lang w:val="en-IE"/>
              </w:rPr>
              <w:t xml:space="preserve"> </w:t>
            </w:r>
            <w:r w:rsidRPr="007743E9">
              <w:rPr>
                <w:lang w:val="en-IE"/>
              </w:rPr>
              <w:t>during and beyond the Action</w:t>
            </w:r>
          </w:p>
        </w:tc>
        <w:tc>
          <w:tcPr>
            <w:tcW w:w="1224" w:type="dxa"/>
          </w:tcPr>
          <w:p w14:paraId="62FB3428" w14:textId="77777777" w:rsidR="00645688" w:rsidRPr="006E65B7" w:rsidRDefault="00645688" w:rsidP="007743E9">
            <w:pPr>
              <w:pStyle w:val="NormalWeb"/>
              <w:rPr>
                <w:b/>
                <w:bCs/>
              </w:rPr>
            </w:pPr>
          </w:p>
        </w:tc>
      </w:tr>
      <w:tr w:rsidR="00645688" w:rsidRPr="006E65B7" w14:paraId="6BB58699" w14:textId="77777777" w:rsidTr="00645688">
        <w:tc>
          <w:tcPr>
            <w:tcW w:w="7792" w:type="dxa"/>
          </w:tcPr>
          <w:p w14:paraId="5CA9CF70" w14:textId="74DE0BBE" w:rsidR="00645688" w:rsidRPr="006E65B7" w:rsidRDefault="00645688" w:rsidP="006E65B7">
            <w:pPr>
              <w:pStyle w:val="NormalWeb"/>
              <w:jc w:val="both"/>
              <w:rPr>
                <w:lang w:val="en-IE"/>
              </w:rPr>
            </w:pPr>
            <w:r w:rsidRPr="007743E9">
              <w:rPr>
                <w:lang w:val="en-IE"/>
              </w:rPr>
              <w:t>10. Provide capacity building opportunities to more stakeholders including existing practitioners, policy</w:t>
            </w:r>
            <w:r w:rsidRPr="006E65B7">
              <w:rPr>
                <w:lang w:val="en-IE"/>
              </w:rPr>
              <w:t xml:space="preserve"> </w:t>
            </w:r>
            <w:r w:rsidRPr="007743E9">
              <w:rPr>
                <w:lang w:val="en-IE"/>
              </w:rPr>
              <w:t>makers and research communities, through the implementation of proactive and inclusive network</w:t>
            </w:r>
            <w:r w:rsidRPr="006E65B7">
              <w:rPr>
                <w:lang w:val="en-IE"/>
              </w:rPr>
              <w:t xml:space="preserve"> </w:t>
            </w:r>
            <w:r w:rsidRPr="007743E9">
              <w:rPr>
                <w:lang w:val="en-IE"/>
              </w:rPr>
              <w:t>activities.</w:t>
            </w:r>
          </w:p>
        </w:tc>
        <w:tc>
          <w:tcPr>
            <w:tcW w:w="1224" w:type="dxa"/>
          </w:tcPr>
          <w:p w14:paraId="7987D9A5" w14:textId="77777777" w:rsidR="00645688" w:rsidRPr="006E65B7" w:rsidRDefault="00645688" w:rsidP="007743E9">
            <w:pPr>
              <w:pStyle w:val="NormalWeb"/>
              <w:rPr>
                <w:b/>
                <w:bCs/>
              </w:rPr>
            </w:pPr>
          </w:p>
        </w:tc>
      </w:tr>
      <w:tr w:rsidR="00645688" w:rsidRPr="006E65B7" w14:paraId="29CAA3D3" w14:textId="77777777" w:rsidTr="00645688">
        <w:tc>
          <w:tcPr>
            <w:tcW w:w="7792" w:type="dxa"/>
          </w:tcPr>
          <w:p w14:paraId="08190DA9" w14:textId="05756400" w:rsidR="00645688" w:rsidRPr="006E65B7" w:rsidRDefault="00645688" w:rsidP="006E65B7">
            <w:pPr>
              <w:pStyle w:val="NormalWeb"/>
              <w:jc w:val="both"/>
              <w:rPr>
                <w:lang w:val="en-IE"/>
              </w:rPr>
            </w:pPr>
            <w:r w:rsidRPr="007743E9">
              <w:rPr>
                <w:lang w:val="en-IE"/>
              </w:rPr>
              <w:t>11. Provide capacity building opportunities to more ITCs and NNCs through the implementation of</w:t>
            </w:r>
            <w:r w:rsidRPr="006E65B7">
              <w:rPr>
                <w:lang w:val="en-IE"/>
              </w:rPr>
              <w:t xml:space="preserve"> </w:t>
            </w:r>
            <w:r w:rsidRPr="007743E9">
              <w:rPr>
                <w:lang w:val="en-IE"/>
              </w:rPr>
              <w:t>proactive and inclusive network activities that specifically target them.</w:t>
            </w:r>
            <w:r w:rsidRPr="006E65B7">
              <w:rPr>
                <w:lang w:val="en-IE"/>
              </w:rPr>
              <w:t xml:space="preserve"> </w:t>
            </w:r>
          </w:p>
        </w:tc>
        <w:tc>
          <w:tcPr>
            <w:tcW w:w="1224" w:type="dxa"/>
          </w:tcPr>
          <w:p w14:paraId="442DBD79" w14:textId="77777777" w:rsidR="00645688" w:rsidRPr="006E65B7" w:rsidRDefault="00645688" w:rsidP="007743E9">
            <w:pPr>
              <w:pStyle w:val="NormalWeb"/>
              <w:rPr>
                <w:b/>
                <w:bCs/>
              </w:rPr>
            </w:pPr>
          </w:p>
        </w:tc>
      </w:tr>
      <w:tr w:rsidR="00645688" w:rsidRPr="006E65B7" w14:paraId="35834F30" w14:textId="77777777" w:rsidTr="00645688">
        <w:tc>
          <w:tcPr>
            <w:tcW w:w="7792" w:type="dxa"/>
          </w:tcPr>
          <w:p w14:paraId="7686B488" w14:textId="0389FDBD" w:rsidR="00645688" w:rsidRPr="006E65B7" w:rsidRDefault="00645688" w:rsidP="006E65B7">
            <w:pPr>
              <w:pStyle w:val="NormalWeb"/>
              <w:jc w:val="both"/>
              <w:rPr>
                <w:lang w:val="en-IE"/>
              </w:rPr>
            </w:pPr>
            <w:r w:rsidRPr="007743E9">
              <w:rPr>
                <w:lang w:val="en-IE"/>
              </w:rPr>
              <w:t>12. Provide capacity building opportunities to more Young Researchers and Innovators (YRIs) through the</w:t>
            </w:r>
            <w:r w:rsidRPr="006E65B7">
              <w:rPr>
                <w:lang w:val="en-IE"/>
              </w:rPr>
              <w:t xml:space="preserve"> </w:t>
            </w:r>
            <w:r w:rsidRPr="007743E9">
              <w:rPr>
                <w:lang w:val="en-IE"/>
              </w:rPr>
              <w:t>implementation of proactive and inclusive network activities that specifically target them.</w:t>
            </w:r>
          </w:p>
        </w:tc>
        <w:tc>
          <w:tcPr>
            <w:tcW w:w="1224" w:type="dxa"/>
          </w:tcPr>
          <w:p w14:paraId="28C8AC36" w14:textId="77777777" w:rsidR="00645688" w:rsidRPr="006E65B7" w:rsidRDefault="00645688" w:rsidP="007743E9">
            <w:pPr>
              <w:pStyle w:val="NormalWeb"/>
              <w:rPr>
                <w:b/>
                <w:bCs/>
              </w:rPr>
            </w:pPr>
          </w:p>
        </w:tc>
      </w:tr>
      <w:tr w:rsidR="00645688" w:rsidRPr="006E65B7" w14:paraId="25B55E10" w14:textId="77777777" w:rsidTr="00645688">
        <w:tc>
          <w:tcPr>
            <w:tcW w:w="7792" w:type="dxa"/>
          </w:tcPr>
          <w:p w14:paraId="0AECE300" w14:textId="5FD7F5CE" w:rsidR="00645688" w:rsidRPr="006E65B7" w:rsidRDefault="00645688" w:rsidP="006E65B7">
            <w:pPr>
              <w:pStyle w:val="NormalWeb"/>
              <w:jc w:val="both"/>
              <w:rPr>
                <w:lang w:val="en-IE"/>
              </w:rPr>
            </w:pPr>
            <w:r w:rsidRPr="007743E9">
              <w:rPr>
                <w:lang w:val="en-IE"/>
              </w:rPr>
              <w:t>13. Encourage and support partners to develop mechanisms aiming at expansion and sustainability of the</w:t>
            </w:r>
            <w:r w:rsidRPr="006E65B7">
              <w:rPr>
                <w:lang w:val="en-IE"/>
              </w:rPr>
              <w:t xml:space="preserve"> </w:t>
            </w:r>
            <w:r w:rsidRPr="007743E9">
              <w:rPr>
                <w:lang w:val="en-IE"/>
              </w:rPr>
              <w:t>Action, beyond the Action's lifetime.</w:t>
            </w:r>
          </w:p>
        </w:tc>
        <w:tc>
          <w:tcPr>
            <w:tcW w:w="1224" w:type="dxa"/>
          </w:tcPr>
          <w:p w14:paraId="3CCD2947" w14:textId="77777777" w:rsidR="00645688" w:rsidRPr="006E65B7" w:rsidRDefault="00645688" w:rsidP="007743E9">
            <w:pPr>
              <w:pStyle w:val="NormalWeb"/>
              <w:rPr>
                <w:b/>
                <w:bCs/>
              </w:rPr>
            </w:pPr>
          </w:p>
        </w:tc>
      </w:tr>
    </w:tbl>
    <w:p w14:paraId="22B5A321" w14:textId="77777777" w:rsidR="00645688" w:rsidRDefault="00645688" w:rsidP="007743E9">
      <w:pPr>
        <w:pStyle w:val="NormalWeb"/>
        <w:rPr>
          <w:b/>
          <w:bCs/>
        </w:rPr>
      </w:pPr>
    </w:p>
    <w:p w14:paraId="4CC4E36F" w14:textId="77777777" w:rsidR="009750B1" w:rsidRPr="006E65B7" w:rsidRDefault="009750B1" w:rsidP="007743E9">
      <w:pPr>
        <w:pStyle w:val="NormalWeb"/>
        <w:rPr>
          <w:b/>
          <w:bCs/>
        </w:rPr>
      </w:pPr>
    </w:p>
    <w:p w14:paraId="6E32FCFE" w14:textId="64C63CB0" w:rsidR="003D509C" w:rsidRPr="006E65B7" w:rsidRDefault="003D509C" w:rsidP="006E65B7">
      <w:pPr>
        <w:pStyle w:val="NormalWeb"/>
        <w:numPr>
          <w:ilvl w:val="0"/>
          <w:numId w:val="10"/>
        </w:numPr>
        <w:rPr>
          <w:b/>
          <w:bCs/>
        </w:rPr>
      </w:pPr>
      <w:r w:rsidRPr="006E65B7">
        <w:rPr>
          <w:b/>
          <w:bCs/>
        </w:rPr>
        <w:t xml:space="preserve">Which of the </w:t>
      </w:r>
      <w:r w:rsidRPr="006E65B7">
        <w:rPr>
          <w:b/>
          <w:bCs/>
          <w:i/>
          <w:iCs/>
        </w:rPr>
        <w:t>ImpleMendez</w:t>
      </w:r>
      <w:r w:rsidRPr="006E65B7">
        <w:rPr>
          <w:b/>
          <w:bCs/>
        </w:rPr>
        <w:t xml:space="preserve"> deliverables are supported by the project?</w:t>
      </w:r>
    </w:p>
    <w:tbl>
      <w:tblPr>
        <w:tblStyle w:val="TableGrid"/>
        <w:tblW w:w="0" w:type="auto"/>
        <w:tblLook w:val="04A0" w:firstRow="1" w:lastRow="0" w:firstColumn="1" w:lastColumn="0" w:noHBand="0" w:noVBand="1"/>
      </w:tblPr>
      <w:tblGrid>
        <w:gridCol w:w="7225"/>
        <w:gridCol w:w="1701"/>
      </w:tblGrid>
      <w:tr w:rsidR="006E65B7" w:rsidRPr="006E65B7" w14:paraId="4721B9BF" w14:textId="77777777" w:rsidTr="006E65B7">
        <w:tc>
          <w:tcPr>
            <w:tcW w:w="7225" w:type="dxa"/>
          </w:tcPr>
          <w:p w14:paraId="534261FD" w14:textId="7326FECF" w:rsidR="006E65B7" w:rsidRPr="006E65B7" w:rsidRDefault="006E65B7" w:rsidP="006E65B7">
            <w:pPr>
              <w:pStyle w:val="NormalWeb"/>
              <w:jc w:val="center"/>
              <w:rPr>
                <w:b/>
                <w:bCs/>
              </w:rPr>
            </w:pPr>
            <w:r>
              <w:rPr>
                <w:b/>
                <w:bCs/>
              </w:rPr>
              <w:t xml:space="preserve">ImpleMendez </w:t>
            </w:r>
            <w:r w:rsidRPr="006E65B7">
              <w:rPr>
                <w:b/>
                <w:bCs/>
              </w:rPr>
              <w:t>Deliverable</w:t>
            </w:r>
            <w:r>
              <w:rPr>
                <w:b/>
                <w:bCs/>
              </w:rPr>
              <w:t>s</w:t>
            </w:r>
          </w:p>
        </w:tc>
        <w:tc>
          <w:tcPr>
            <w:tcW w:w="1701" w:type="dxa"/>
          </w:tcPr>
          <w:p w14:paraId="44A69EAA" w14:textId="6CB84F70" w:rsidR="006E65B7" w:rsidRPr="006E65B7" w:rsidRDefault="006E65B7" w:rsidP="006E65B7">
            <w:pPr>
              <w:pStyle w:val="NormalWeb"/>
              <w:jc w:val="center"/>
              <w:rPr>
                <w:b/>
                <w:bCs/>
              </w:rPr>
            </w:pPr>
            <w:r w:rsidRPr="006E65B7">
              <w:rPr>
                <w:b/>
                <w:bCs/>
              </w:rPr>
              <w:t>Supported by this project?</w:t>
            </w:r>
          </w:p>
        </w:tc>
      </w:tr>
      <w:tr w:rsidR="006E65B7" w:rsidRPr="006E65B7" w14:paraId="252AA427" w14:textId="77777777" w:rsidTr="006E65B7">
        <w:tc>
          <w:tcPr>
            <w:tcW w:w="7225" w:type="dxa"/>
          </w:tcPr>
          <w:p w14:paraId="79F21359" w14:textId="1356547D" w:rsidR="006E65B7" w:rsidRPr="006E65B7" w:rsidRDefault="006E65B7" w:rsidP="006E65B7">
            <w:pPr>
              <w:autoSpaceDE w:val="0"/>
              <w:autoSpaceDN w:val="0"/>
              <w:adjustRightInd w:val="0"/>
              <w:rPr>
                <w:rFonts w:ascii="Times New Roman" w:hAnsi="Times New Roman" w:cs="Times New Roman"/>
                <w:sz w:val="24"/>
                <w:szCs w:val="24"/>
              </w:rPr>
            </w:pPr>
            <w:r w:rsidRPr="006E65B7">
              <w:rPr>
                <w:rFonts w:ascii="Times New Roman" w:hAnsi="Times New Roman" w:cs="Times New Roman"/>
                <w:kern w:val="0"/>
                <w:sz w:val="24"/>
                <w:szCs w:val="24"/>
                <w:lang w:val="en-IE"/>
              </w:rPr>
              <w:t>Design training materials including podcasts and seminars that are consistent with the Mendez</w:t>
            </w:r>
            <w:r>
              <w:rPr>
                <w:rFonts w:ascii="Times New Roman" w:hAnsi="Times New Roman" w:cs="Times New Roman"/>
                <w:kern w:val="0"/>
                <w:sz w:val="24"/>
                <w:szCs w:val="24"/>
                <w:lang w:val="en-IE"/>
              </w:rPr>
              <w:t xml:space="preserve"> </w:t>
            </w:r>
            <w:r w:rsidRPr="006E65B7">
              <w:rPr>
                <w:rFonts w:ascii="Times New Roman" w:hAnsi="Times New Roman" w:cs="Times New Roman"/>
                <w:kern w:val="0"/>
                <w:sz w:val="24"/>
                <w:szCs w:val="24"/>
                <w:lang w:val="en-IE"/>
              </w:rPr>
              <w:t>Principles that are held on the website as a repository</w:t>
            </w:r>
          </w:p>
        </w:tc>
        <w:tc>
          <w:tcPr>
            <w:tcW w:w="1701" w:type="dxa"/>
          </w:tcPr>
          <w:p w14:paraId="023ACF2D" w14:textId="77777777" w:rsidR="006E65B7" w:rsidRPr="006E65B7" w:rsidRDefault="006E65B7" w:rsidP="00384AF1">
            <w:pPr>
              <w:pStyle w:val="NormalWeb"/>
            </w:pPr>
          </w:p>
        </w:tc>
      </w:tr>
      <w:tr w:rsidR="006E65B7" w:rsidRPr="006E65B7" w14:paraId="6F220DF1" w14:textId="77777777" w:rsidTr="006E65B7">
        <w:tc>
          <w:tcPr>
            <w:tcW w:w="7225" w:type="dxa"/>
          </w:tcPr>
          <w:p w14:paraId="6FE8257D" w14:textId="0C36F7BD" w:rsidR="006E65B7" w:rsidRPr="006E65B7" w:rsidRDefault="006E65B7" w:rsidP="00384AF1">
            <w:pPr>
              <w:pStyle w:val="NormalWeb"/>
            </w:pPr>
            <w:r w:rsidRPr="006E65B7">
              <w:rPr>
                <w:lang w:val="en-IE"/>
              </w:rPr>
              <w:t>Press releases to advise of developments towards implementation of the Mendez principles</w:t>
            </w:r>
          </w:p>
        </w:tc>
        <w:tc>
          <w:tcPr>
            <w:tcW w:w="1701" w:type="dxa"/>
          </w:tcPr>
          <w:p w14:paraId="0473F246" w14:textId="77777777" w:rsidR="006E65B7" w:rsidRPr="006E65B7" w:rsidRDefault="006E65B7" w:rsidP="00384AF1">
            <w:pPr>
              <w:pStyle w:val="NormalWeb"/>
            </w:pPr>
          </w:p>
        </w:tc>
      </w:tr>
      <w:tr w:rsidR="006E65B7" w:rsidRPr="006E65B7" w14:paraId="18947D29" w14:textId="77777777" w:rsidTr="006E65B7">
        <w:tc>
          <w:tcPr>
            <w:tcW w:w="7225" w:type="dxa"/>
          </w:tcPr>
          <w:p w14:paraId="087DBE55" w14:textId="5FE69B81" w:rsidR="006E65B7" w:rsidRPr="006E65B7" w:rsidRDefault="006E65B7" w:rsidP="006E65B7">
            <w:pPr>
              <w:autoSpaceDE w:val="0"/>
              <w:autoSpaceDN w:val="0"/>
              <w:adjustRightInd w:val="0"/>
              <w:rPr>
                <w:rFonts w:ascii="Times New Roman" w:hAnsi="Times New Roman" w:cs="Times New Roman"/>
                <w:sz w:val="24"/>
                <w:szCs w:val="24"/>
              </w:rPr>
            </w:pPr>
            <w:r w:rsidRPr="006E65B7">
              <w:rPr>
                <w:rFonts w:ascii="Times New Roman" w:hAnsi="Times New Roman" w:cs="Times New Roman"/>
                <w:kern w:val="0"/>
                <w:sz w:val="24"/>
                <w:szCs w:val="24"/>
                <w:lang w:val="en-IE"/>
              </w:rPr>
              <w:t xml:space="preserve">Author law notes, policy reports and briefings to national, </w:t>
            </w:r>
            <w:r>
              <w:rPr>
                <w:rFonts w:ascii="Times New Roman" w:hAnsi="Times New Roman" w:cs="Times New Roman"/>
                <w:kern w:val="0"/>
                <w:sz w:val="24"/>
                <w:szCs w:val="24"/>
                <w:lang w:val="en-IE"/>
              </w:rPr>
              <w:t>r</w:t>
            </w:r>
            <w:r w:rsidRPr="006E65B7">
              <w:rPr>
                <w:rFonts w:ascii="Times New Roman" w:hAnsi="Times New Roman" w:cs="Times New Roman"/>
                <w:kern w:val="0"/>
                <w:sz w:val="24"/>
                <w:szCs w:val="24"/>
                <w:lang w:val="en-IE"/>
              </w:rPr>
              <w:t>egional and international bodies to</w:t>
            </w:r>
            <w:r>
              <w:rPr>
                <w:rFonts w:ascii="Times New Roman" w:hAnsi="Times New Roman" w:cs="Times New Roman"/>
                <w:kern w:val="0"/>
                <w:sz w:val="24"/>
                <w:szCs w:val="24"/>
                <w:lang w:val="en-IE"/>
              </w:rPr>
              <w:t xml:space="preserve"> </w:t>
            </w:r>
            <w:r w:rsidRPr="006E65B7">
              <w:rPr>
                <w:rFonts w:ascii="Times New Roman" w:hAnsi="Times New Roman" w:cs="Times New Roman"/>
                <w:kern w:val="0"/>
                <w:sz w:val="24"/>
                <w:szCs w:val="24"/>
                <w:lang w:val="en-IE"/>
              </w:rPr>
              <w:t>advise of progress, pitfalls and opportunities of the implementation of the Mendez Principles</w:t>
            </w:r>
          </w:p>
        </w:tc>
        <w:tc>
          <w:tcPr>
            <w:tcW w:w="1701" w:type="dxa"/>
          </w:tcPr>
          <w:p w14:paraId="7985AEEC" w14:textId="77777777" w:rsidR="006E65B7" w:rsidRPr="006E65B7" w:rsidRDefault="006E65B7" w:rsidP="00384AF1">
            <w:pPr>
              <w:pStyle w:val="NormalWeb"/>
            </w:pPr>
          </w:p>
        </w:tc>
      </w:tr>
      <w:tr w:rsidR="006E65B7" w:rsidRPr="006E65B7" w14:paraId="137335BE" w14:textId="77777777" w:rsidTr="006E65B7">
        <w:tc>
          <w:tcPr>
            <w:tcW w:w="7225" w:type="dxa"/>
          </w:tcPr>
          <w:p w14:paraId="13925741" w14:textId="6BCE7EC6" w:rsidR="006E65B7" w:rsidRPr="006E65B7" w:rsidRDefault="006E65B7" w:rsidP="006E65B7">
            <w:pPr>
              <w:autoSpaceDE w:val="0"/>
              <w:autoSpaceDN w:val="0"/>
              <w:adjustRightInd w:val="0"/>
              <w:rPr>
                <w:rFonts w:ascii="Times New Roman" w:hAnsi="Times New Roman" w:cs="Times New Roman"/>
                <w:sz w:val="24"/>
                <w:szCs w:val="24"/>
              </w:rPr>
            </w:pPr>
            <w:r w:rsidRPr="006E65B7">
              <w:rPr>
                <w:rFonts w:ascii="Times New Roman" w:hAnsi="Times New Roman" w:cs="Times New Roman"/>
                <w:kern w:val="0"/>
                <w:sz w:val="24"/>
                <w:szCs w:val="24"/>
                <w:lang w:val="en-IE"/>
              </w:rPr>
              <w:t>Co-design with key stakeholders in various countries a F</w:t>
            </w:r>
            <w:r>
              <w:rPr>
                <w:rFonts w:ascii="Times New Roman" w:hAnsi="Times New Roman" w:cs="Times New Roman"/>
                <w:kern w:val="0"/>
                <w:sz w:val="24"/>
                <w:szCs w:val="24"/>
                <w:lang w:val="en-IE"/>
              </w:rPr>
              <w:t>ramework for Investigation Transformation (F</w:t>
            </w:r>
            <w:r w:rsidRPr="006E65B7">
              <w:rPr>
                <w:rFonts w:ascii="Times New Roman" w:hAnsi="Times New Roman" w:cs="Times New Roman"/>
                <w:kern w:val="0"/>
                <w:sz w:val="24"/>
                <w:szCs w:val="24"/>
                <w:lang w:val="en-IE"/>
              </w:rPr>
              <w:t>IT</w:t>
            </w:r>
            <w:r>
              <w:rPr>
                <w:rFonts w:ascii="Times New Roman" w:hAnsi="Times New Roman" w:cs="Times New Roman"/>
                <w:kern w:val="0"/>
                <w:sz w:val="24"/>
                <w:szCs w:val="24"/>
                <w:lang w:val="en-IE"/>
              </w:rPr>
              <w:t>)</w:t>
            </w:r>
            <w:r w:rsidRPr="006E65B7">
              <w:rPr>
                <w:rFonts w:ascii="Times New Roman" w:hAnsi="Times New Roman" w:cs="Times New Roman"/>
                <w:kern w:val="0"/>
                <w:sz w:val="24"/>
                <w:szCs w:val="24"/>
                <w:lang w:val="en-IE"/>
              </w:rPr>
              <w:t xml:space="preserve"> to include strategy and roadmaps</w:t>
            </w:r>
            <w:r>
              <w:rPr>
                <w:rFonts w:ascii="Times New Roman" w:hAnsi="Times New Roman" w:cs="Times New Roman"/>
                <w:kern w:val="0"/>
                <w:sz w:val="24"/>
                <w:szCs w:val="24"/>
                <w:lang w:val="en-IE"/>
              </w:rPr>
              <w:t xml:space="preserve"> </w:t>
            </w:r>
            <w:r w:rsidRPr="006E65B7">
              <w:rPr>
                <w:rFonts w:ascii="Times New Roman" w:hAnsi="Times New Roman" w:cs="Times New Roman"/>
                <w:kern w:val="0"/>
                <w:sz w:val="24"/>
                <w:szCs w:val="24"/>
                <w:lang w:val="en-IE"/>
              </w:rPr>
              <w:t>towards their implementation of the Mendez Principles</w:t>
            </w:r>
          </w:p>
        </w:tc>
        <w:tc>
          <w:tcPr>
            <w:tcW w:w="1701" w:type="dxa"/>
          </w:tcPr>
          <w:p w14:paraId="171ECB8A" w14:textId="77777777" w:rsidR="006E65B7" w:rsidRPr="006E65B7" w:rsidRDefault="006E65B7" w:rsidP="00384AF1">
            <w:pPr>
              <w:pStyle w:val="NormalWeb"/>
            </w:pPr>
          </w:p>
        </w:tc>
      </w:tr>
      <w:tr w:rsidR="006E65B7" w:rsidRPr="006E65B7" w14:paraId="221DF044" w14:textId="77777777" w:rsidTr="006E65B7">
        <w:tc>
          <w:tcPr>
            <w:tcW w:w="7225" w:type="dxa"/>
          </w:tcPr>
          <w:p w14:paraId="45E16DE0" w14:textId="2C7CB68F" w:rsidR="006E65B7" w:rsidRPr="006E65B7" w:rsidRDefault="006E65B7" w:rsidP="006E65B7">
            <w:pPr>
              <w:autoSpaceDE w:val="0"/>
              <w:autoSpaceDN w:val="0"/>
              <w:adjustRightInd w:val="0"/>
              <w:rPr>
                <w:rFonts w:ascii="Times New Roman" w:hAnsi="Times New Roman" w:cs="Times New Roman"/>
                <w:sz w:val="24"/>
                <w:szCs w:val="24"/>
              </w:rPr>
            </w:pPr>
            <w:r w:rsidRPr="006E65B7">
              <w:rPr>
                <w:rFonts w:ascii="Times New Roman" w:hAnsi="Times New Roman" w:cs="Times New Roman"/>
                <w:kern w:val="0"/>
                <w:sz w:val="24"/>
                <w:szCs w:val="24"/>
                <w:lang w:val="en-IE"/>
              </w:rPr>
              <w:t>Articles for professional publications advising of practical steps and issues towards the</w:t>
            </w:r>
            <w:r>
              <w:rPr>
                <w:rFonts w:ascii="Times New Roman" w:hAnsi="Times New Roman" w:cs="Times New Roman"/>
                <w:kern w:val="0"/>
                <w:sz w:val="24"/>
                <w:szCs w:val="24"/>
                <w:lang w:val="en-IE"/>
              </w:rPr>
              <w:t xml:space="preserve"> </w:t>
            </w:r>
            <w:r w:rsidRPr="006E65B7">
              <w:rPr>
                <w:rFonts w:ascii="Times New Roman" w:hAnsi="Times New Roman" w:cs="Times New Roman"/>
                <w:kern w:val="0"/>
                <w:sz w:val="24"/>
                <w:szCs w:val="24"/>
                <w:lang w:val="en-IE"/>
              </w:rPr>
              <w:t>implementation of the Mendez Principles</w:t>
            </w:r>
          </w:p>
        </w:tc>
        <w:tc>
          <w:tcPr>
            <w:tcW w:w="1701" w:type="dxa"/>
          </w:tcPr>
          <w:p w14:paraId="7B8B17D3" w14:textId="77777777" w:rsidR="006E65B7" w:rsidRPr="006E65B7" w:rsidRDefault="006E65B7" w:rsidP="00384AF1">
            <w:pPr>
              <w:pStyle w:val="NormalWeb"/>
            </w:pPr>
          </w:p>
        </w:tc>
      </w:tr>
      <w:tr w:rsidR="006E65B7" w:rsidRPr="006E65B7" w14:paraId="6E1AC833" w14:textId="77777777" w:rsidTr="006E65B7">
        <w:tc>
          <w:tcPr>
            <w:tcW w:w="7225" w:type="dxa"/>
          </w:tcPr>
          <w:p w14:paraId="719728DB" w14:textId="48E863C6" w:rsidR="006E65B7" w:rsidRPr="006E65B7" w:rsidRDefault="006E65B7" w:rsidP="006E65B7">
            <w:pPr>
              <w:autoSpaceDE w:val="0"/>
              <w:autoSpaceDN w:val="0"/>
              <w:adjustRightInd w:val="0"/>
              <w:rPr>
                <w:rFonts w:ascii="Times New Roman" w:hAnsi="Times New Roman" w:cs="Times New Roman"/>
                <w:sz w:val="24"/>
                <w:szCs w:val="24"/>
              </w:rPr>
            </w:pPr>
            <w:r w:rsidRPr="006E65B7">
              <w:rPr>
                <w:rFonts w:ascii="Times New Roman" w:hAnsi="Times New Roman" w:cs="Times New Roman"/>
                <w:kern w:val="0"/>
                <w:sz w:val="24"/>
                <w:szCs w:val="24"/>
                <w:lang w:val="en-IE"/>
              </w:rPr>
              <w:t>Author scientific papers in peer reviewed journal that relate to the implementation of the</w:t>
            </w:r>
            <w:r>
              <w:rPr>
                <w:rFonts w:ascii="Times New Roman" w:hAnsi="Times New Roman" w:cs="Times New Roman"/>
                <w:kern w:val="0"/>
                <w:sz w:val="24"/>
                <w:szCs w:val="24"/>
                <w:lang w:val="en-IE"/>
              </w:rPr>
              <w:t xml:space="preserve"> </w:t>
            </w:r>
            <w:r w:rsidRPr="006E65B7">
              <w:rPr>
                <w:rFonts w:ascii="Times New Roman" w:hAnsi="Times New Roman" w:cs="Times New Roman"/>
                <w:kern w:val="0"/>
                <w:sz w:val="24"/>
                <w:szCs w:val="24"/>
                <w:lang w:val="en-IE"/>
              </w:rPr>
              <w:t>Mendez Principles</w:t>
            </w:r>
          </w:p>
        </w:tc>
        <w:tc>
          <w:tcPr>
            <w:tcW w:w="1701" w:type="dxa"/>
          </w:tcPr>
          <w:p w14:paraId="679584F6" w14:textId="77777777" w:rsidR="006E65B7" w:rsidRPr="006E65B7" w:rsidRDefault="006E65B7" w:rsidP="00384AF1">
            <w:pPr>
              <w:pStyle w:val="NormalWeb"/>
            </w:pPr>
          </w:p>
        </w:tc>
      </w:tr>
      <w:tr w:rsidR="006E65B7" w:rsidRPr="006E65B7" w14:paraId="2AC82C5E" w14:textId="77777777" w:rsidTr="006E65B7">
        <w:tc>
          <w:tcPr>
            <w:tcW w:w="7225" w:type="dxa"/>
          </w:tcPr>
          <w:p w14:paraId="1A7C87A8" w14:textId="240EEE08" w:rsidR="006E65B7" w:rsidRPr="006E65B7" w:rsidRDefault="006E65B7" w:rsidP="006E65B7">
            <w:pPr>
              <w:autoSpaceDE w:val="0"/>
              <w:autoSpaceDN w:val="0"/>
              <w:adjustRightInd w:val="0"/>
              <w:rPr>
                <w:rFonts w:ascii="Times New Roman" w:hAnsi="Times New Roman" w:cs="Times New Roman"/>
                <w:kern w:val="0"/>
                <w:sz w:val="24"/>
                <w:szCs w:val="24"/>
                <w:lang w:val="en-IE"/>
              </w:rPr>
            </w:pPr>
            <w:r w:rsidRPr="006E65B7">
              <w:rPr>
                <w:rFonts w:ascii="Times New Roman" w:hAnsi="Times New Roman" w:cs="Times New Roman"/>
                <w:kern w:val="0"/>
                <w:sz w:val="24"/>
                <w:szCs w:val="24"/>
                <w:lang w:val="en-IE"/>
              </w:rPr>
              <w:t>Produce an edited textbook of the challenges and benefits of the implementation of the Mendez</w:t>
            </w:r>
            <w:r>
              <w:rPr>
                <w:rFonts w:ascii="Times New Roman" w:hAnsi="Times New Roman" w:cs="Times New Roman"/>
                <w:kern w:val="0"/>
                <w:sz w:val="24"/>
                <w:szCs w:val="24"/>
                <w:lang w:val="en-IE"/>
              </w:rPr>
              <w:t xml:space="preserve"> </w:t>
            </w:r>
            <w:r w:rsidRPr="006E65B7">
              <w:rPr>
                <w:rFonts w:ascii="Times New Roman" w:hAnsi="Times New Roman" w:cs="Times New Roman"/>
                <w:kern w:val="0"/>
                <w:sz w:val="24"/>
                <w:szCs w:val="24"/>
                <w:lang w:val="en-IE"/>
              </w:rPr>
              <w:t>Principles</w:t>
            </w:r>
          </w:p>
        </w:tc>
        <w:tc>
          <w:tcPr>
            <w:tcW w:w="1701" w:type="dxa"/>
          </w:tcPr>
          <w:p w14:paraId="0FA43D16" w14:textId="77777777" w:rsidR="006E65B7" w:rsidRPr="006E65B7" w:rsidRDefault="006E65B7" w:rsidP="00384AF1">
            <w:pPr>
              <w:pStyle w:val="NormalWeb"/>
            </w:pPr>
          </w:p>
        </w:tc>
      </w:tr>
    </w:tbl>
    <w:p w14:paraId="3509AA67" w14:textId="77777777" w:rsidR="00645688" w:rsidRDefault="00645688" w:rsidP="00384AF1">
      <w:pPr>
        <w:pStyle w:val="NormalWeb"/>
        <w:rPr>
          <w:b/>
          <w:bCs/>
        </w:rPr>
      </w:pPr>
    </w:p>
    <w:p w14:paraId="1E7833D4" w14:textId="77777777" w:rsidR="009750B1" w:rsidRPr="006E65B7" w:rsidRDefault="009750B1" w:rsidP="00384AF1">
      <w:pPr>
        <w:pStyle w:val="NormalWeb"/>
        <w:rPr>
          <w:b/>
          <w:bCs/>
        </w:rPr>
      </w:pPr>
    </w:p>
    <w:p w14:paraId="69990C31" w14:textId="26EF1867" w:rsidR="00071CF7" w:rsidRDefault="003D509C" w:rsidP="006E65B7">
      <w:pPr>
        <w:pStyle w:val="NormalWeb"/>
        <w:numPr>
          <w:ilvl w:val="0"/>
          <w:numId w:val="10"/>
        </w:numPr>
        <w:rPr>
          <w:b/>
          <w:bCs/>
        </w:rPr>
      </w:pPr>
      <w:r w:rsidRPr="006E65B7">
        <w:rPr>
          <w:b/>
          <w:bCs/>
        </w:rPr>
        <w:lastRenderedPageBreak/>
        <w:t xml:space="preserve">Outline </w:t>
      </w:r>
      <w:r w:rsidR="006E65B7">
        <w:rPr>
          <w:b/>
          <w:bCs/>
        </w:rPr>
        <w:t xml:space="preserve">the </w:t>
      </w:r>
      <w:r w:rsidRPr="006E65B7">
        <w:rPr>
          <w:b/>
          <w:bCs/>
        </w:rPr>
        <w:t>COST-funded activities that you propose as part of this project, e.g. meetings,</w:t>
      </w:r>
      <w:r w:rsidR="006E65B7">
        <w:rPr>
          <w:b/>
          <w:bCs/>
        </w:rPr>
        <w:t xml:space="preserve"> t</w:t>
      </w:r>
      <w:r w:rsidR="006E65B7" w:rsidRPr="006E65B7">
        <w:rPr>
          <w:b/>
          <w:bCs/>
        </w:rPr>
        <w:t>raining schools</w:t>
      </w:r>
      <w:r w:rsidRPr="006E65B7">
        <w:rPr>
          <w:b/>
          <w:bCs/>
        </w:rPr>
        <w:t>…</w:t>
      </w:r>
      <w:r w:rsidR="006E65B7">
        <w:rPr>
          <w:b/>
          <w:bCs/>
        </w:rPr>
        <w:t xml:space="preserve"> You must i</w:t>
      </w:r>
      <w:r w:rsidR="00071CF7" w:rsidRPr="006E65B7">
        <w:rPr>
          <w:b/>
          <w:bCs/>
        </w:rPr>
        <w:t>nclude proposed dates</w:t>
      </w:r>
      <w:r w:rsidR="00526193">
        <w:rPr>
          <w:b/>
          <w:bCs/>
        </w:rPr>
        <w:t xml:space="preserve"> </w:t>
      </w:r>
      <w:r w:rsidR="00071CF7" w:rsidRPr="006E65B7">
        <w:rPr>
          <w:b/>
          <w:bCs/>
        </w:rPr>
        <w:t>and venues</w:t>
      </w:r>
      <w:r w:rsidR="006E65B7">
        <w:rPr>
          <w:b/>
          <w:bCs/>
        </w:rPr>
        <w:t>;</w:t>
      </w:r>
      <w:r w:rsidR="00071CF7" w:rsidRPr="006E65B7">
        <w:rPr>
          <w:b/>
          <w:bCs/>
        </w:rPr>
        <w:t xml:space="preserve"> likely numbers </w:t>
      </w:r>
      <w:r w:rsidR="006E65B7">
        <w:rPr>
          <w:b/>
          <w:bCs/>
        </w:rPr>
        <w:t xml:space="preserve">of ImpleMendez members </w:t>
      </w:r>
      <w:r w:rsidR="00071CF7" w:rsidRPr="006E65B7">
        <w:rPr>
          <w:b/>
          <w:bCs/>
        </w:rPr>
        <w:t>in attendance</w:t>
      </w:r>
      <w:r w:rsidR="006E65B7">
        <w:rPr>
          <w:b/>
          <w:bCs/>
        </w:rPr>
        <w:t>;</w:t>
      </w:r>
      <w:r w:rsidR="00071CF7" w:rsidRPr="006E65B7">
        <w:rPr>
          <w:b/>
          <w:bCs/>
        </w:rPr>
        <w:t xml:space="preserve"> long distance</w:t>
      </w:r>
      <w:r w:rsidR="00526193">
        <w:rPr>
          <w:b/>
          <w:bCs/>
        </w:rPr>
        <w:t xml:space="preserve"> (100km+)</w:t>
      </w:r>
      <w:r w:rsidR="00071CF7" w:rsidRPr="006E65B7">
        <w:rPr>
          <w:b/>
          <w:bCs/>
        </w:rPr>
        <w:t xml:space="preserve"> average costs per attendee</w:t>
      </w:r>
      <w:r w:rsidR="006E65B7">
        <w:rPr>
          <w:b/>
          <w:bCs/>
        </w:rPr>
        <w:t>;</w:t>
      </w:r>
      <w:r w:rsidR="00071CF7" w:rsidRPr="006E65B7">
        <w:rPr>
          <w:b/>
          <w:bCs/>
        </w:rPr>
        <w:t xml:space="preserve"> details of local organiser costs and refreshment costs.</w:t>
      </w:r>
    </w:p>
    <w:p w14:paraId="785A3AF3" w14:textId="77777777" w:rsidR="0072107C" w:rsidRDefault="006E65B7" w:rsidP="006E65B7">
      <w:pPr>
        <w:pStyle w:val="NormalWeb"/>
        <w:rPr>
          <w:i/>
          <w:iCs/>
        </w:rPr>
      </w:pPr>
      <w:r>
        <w:rPr>
          <w:i/>
          <w:iCs/>
        </w:rPr>
        <w:t xml:space="preserve">Example: </w:t>
      </w:r>
    </w:p>
    <w:tbl>
      <w:tblPr>
        <w:tblStyle w:val="TableGrid"/>
        <w:tblW w:w="0" w:type="auto"/>
        <w:jc w:val="center"/>
        <w:tblLook w:val="04A0" w:firstRow="1" w:lastRow="0" w:firstColumn="1" w:lastColumn="0" w:noHBand="0" w:noVBand="1"/>
      </w:tblPr>
      <w:tblGrid>
        <w:gridCol w:w="6516"/>
      </w:tblGrid>
      <w:tr w:rsidR="0072107C" w:rsidRPr="0072107C" w14:paraId="4DF1C527" w14:textId="77777777" w:rsidTr="0072107C">
        <w:trPr>
          <w:jc w:val="center"/>
        </w:trPr>
        <w:tc>
          <w:tcPr>
            <w:tcW w:w="6516" w:type="dxa"/>
          </w:tcPr>
          <w:p w14:paraId="199A4264" w14:textId="77777777" w:rsidR="0072107C" w:rsidRPr="0072107C" w:rsidRDefault="0072107C" w:rsidP="00221349">
            <w:pPr>
              <w:pStyle w:val="NormalWeb"/>
              <w:spacing w:before="0" w:beforeAutospacing="0" w:after="0" w:afterAutospacing="0"/>
              <w:rPr>
                <w:i/>
                <w:iCs/>
              </w:rPr>
            </w:pPr>
            <w:r w:rsidRPr="0072107C">
              <w:rPr>
                <w:i/>
                <w:iCs/>
              </w:rPr>
              <w:t xml:space="preserve">Training School on Legal Assistance in investigative interviews; </w:t>
            </w:r>
          </w:p>
        </w:tc>
      </w:tr>
      <w:tr w:rsidR="0072107C" w:rsidRPr="0072107C" w14:paraId="6406EFB5" w14:textId="77777777" w:rsidTr="0072107C">
        <w:trPr>
          <w:jc w:val="center"/>
        </w:trPr>
        <w:tc>
          <w:tcPr>
            <w:tcW w:w="6516" w:type="dxa"/>
          </w:tcPr>
          <w:p w14:paraId="4F25464E" w14:textId="77777777" w:rsidR="0072107C" w:rsidRPr="0072107C" w:rsidRDefault="0072107C" w:rsidP="00221349">
            <w:pPr>
              <w:pStyle w:val="NormalWeb"/>
              <w:spacing w:before="0" w:beforeAutospacing="0" w:after="0" w:afterAutospacing="0"/>
              <w:rPr>
                <w:i/>
                <w:iCs/>
              </w:rPr>
            </w:pPr>
            <w:r w:rsidRPr="0072107C">
              <w:rPr>
                <w:i/>
                <w:iCs/>
              </w:rPr>
              <w:t xml:space="preserve">April 22-24 (2.5 day event); </w:t>
            </w:r>
          </w:p>
        </w:tc>
      </w:tr>
      <w:tr w:rsidR="0072107C" w:rsidRPr="0072107C" w14:paraId="6204E38F" w14:textId="77777777" w:rsidTr="0072107C">
        <w:trPr>
          <w:jc w:val="center"/>
        </w:trPr>
        <w:tc>
          <w:tcPr>
            <w:tcW w:w="6516" w:type="dxa"/>
          </w:tcPr>
          <w:p w14:paraId="7926D6A1" w14:textId="77777777" w:rsidR="0072107C" w:rsidRPr="0072107C" w:rsidRDefault="0072107C" w:rsidP="00221349">
            <w:pPr>
              <w:pStyle w:val="NormalWeb"/>
              <w:spacing w:before="0" w:beforeAutospacing="0" w:after="0" w:afterAutospacing="0"/>
              <w:rPr>
                <w:i/>
                <w:iCs/>
              </w:rPr>
            </w:pPr>
            <w:r w:rsidRPr="0072107C">
              <w:rPr>
                <w:i/>
                <w:iCs/>
              </w:rPr>
              <w:t xml:space="preserve">KU Leuven, Belgium; </w:t>
            </w:r>
          </w:p>
        </w:tc>
      </w:tr>
      <w:tr w:rsidR="0072107C" w:rsidRPr="0072107C" w14:paraId="7EFFF5BC" w14:textId="77777777" w:rsidTr="0072107C">
        <w:trPr>
          <w:jc w:val="center"/>
        </w:trPr>
        <w:tc>
          <w:tcPr>
            <w:tcW w:w="6516" w:type="dxa"/>
          </w:tcPr>
          <w:p w14:paraId="709AD590" w14:textId="2435E2E2" w:rsidR="0072107C" w:rsidRPr="0072107C" w:rsidRDefault="0072107C" w:rsidP="00221349">
            <w:pPr>
              <w:pStyle w:val="NormalWeb"/>
              <w:spacing w:before="0" w:beforeAutospacing="0" w:after="0" w:afterAutospacing="0"/>
              <w:rPr>
                <w:i/>
                <w:iCs/>
              </w:rPr>
            </w:pPr>
            <w:r w:rsidRPr="0072107C">
              <w:rPr>
                <w:i/>
                <w:iCs/>
              </w:rPr>
              <w:t>20 ImpleMendez members</w:t>
            </w:r>
            <w:r>
              <w:rPr>
                <w:i/>
                <w:iCs/>
              </w:rPr>
              <w:t xml:space="preserve"> (17 trainees and 3 trainers)</w:t>
            </w:r>
            <w:r w:rsidRPr="0072107C">
              <w:rPr>
                <w:i/>
                <w:iCs/>
              </w:rPr>
              <w:t xml:space="preserve">; </w:t>
            </w:r>
          </w:p>
        </w:tc>
      </w:tr>
      <w:tr w:rsidR="0072107C" w:rsidRPr="0072107C" w14:paraId="1163C302" w14:textId="77777777" w:rsidTr="0072107C">
        <w:trPr>
          <w:jc w:val="center"/>
        </w:trPr>
        <w:tc>
          <w:tcPr>
            <w:tcW w:w="6516" w:type="dxa"/>
          </w:tcPr>
          <w:p w14:paraId="3C833A63" w14:textId="77777777" w:rsidR="0072107C" w:rsidRPr="0072107C" w:rsidRDefault="0072107C" w:rsidP="00221349">
            <w:pPr>
              <w:pStyle w:val="NormalWeb"/>
              <w:spacing w:before="0" w:beforeAutospacing="0" w:after="0" w:afterAutospacing="0"/>
              <w:rPr>
                <w:i/>
                <w:iCs/>
              </w:rPr>
            </w:pPr>
            <w:r w:rsidRPr="0072107C">
              <w:rPr>
                <w:i/>
                <w:iCs/>
              </w:rPr>
              <w:t xml:space="preserve">average travel costs (flights, train) = €250; </w:t>
            </w:r>
          </w:p>
        </w:tc>
      </w:tr>
      <w:tr w:rsidR="0072107C" w:rsidRPr="0072107C" w14:paraId="26556BDE" w14:textId="77777777" w:rsidTr="0072107C">
        <w:trPr>
          <w:jc w:val="center"/>
        </w:trPr>
        <w:tc>
          <w:tcPr>
            <w:tcW w:w="6516" w:type="dxa"/>
          </w:tcPr>
          <w:p w14:paraId="3B3CCB70" w14:textId="77777777" w:rsidR="0072107C" w:rsidRPr="0072107C" w:rsidRDefault="0072107C" w:rsidP="00221349">
            <w:pPr>
              <w:pStyle w:val="NormalWeb"/>
              <w:spacing w:before="0" w:beforeAutospacing="0" w:after="0" w:afterAutospacing="0"/>
              <w:rPr>
                <w:i/>
                <w:iCs/>
              </w:rPr>
            </w:pPr>
            <w:r w:rsidRPr="0072107C">
              <w:rPr>
                <w:i/>
                <w:iCs/>
              </w:rPr>
              <w:t>Local organiser/refreshment costs estimate €600</w:t>
            </w:r>
          </w:p>
        </w:tc>
      </w:tr>
    </w:tbl>
    <w:p w14:paraId="31119CE1" w14:textId="77777777" w:rsidR="00B20DEB" w:rsidRDefault="00B20DEB" w:rsidP="006E65B7">
      <w:pPr>
        <w:pStyle w:val="NormalWeb"/>
        <w:rPr>
          <w:i/>
          <w:iCs/>
        </w:rPr>
      </w:pPr>
    </w:p>
    <w:p w14:paraId="4CC768A4" w14:textId="77777777" w:rsidR="00B20DEB" w:rsidRDefault="00B20DEB" w:rsidP="006E65B7">
      <w:pPr>
        <w:pStyle w:val="NormalWeb"/>
        <w:rPr>
          <w:i/>
          <w:iCs/>
        </w:rPr>
      </w:pPr>
    </w:p>
    <w:p w14:paraId="1CB80D01" w14:textId="7A23B599" w:rsidR="00B20DEB" w:rsidRPr="00591DEB" w:rsidRDefault="00591DEB" w:rsidP="00591DEB">
      <w:pPr>
        <w:pStyle w:val="NormalWeb"/>
        <w:numPr>
          <w:ilvl w:val="0"/>
          <w:numId w:val="10"/>
        </w:numPr>
        <w:rPr>
          <w:i/>
          <w:iCs/>
        </w:rPr>
      </w:pPr>
      <w:r>
        <w:rPr>
          <w:b/>
          <w:bCs/>
        </w:rPr>
        <w:t xml:space="preserve">Any other information </w:t>
      </w:r>
      <w:r>
        <w:rPr>
          <w:i/>
          <w:iCs/>
        </w:rPr>
        <w:t>(include here anything further you wish to add in relation to your proposed project which may be important to those assessing your application)</w:t>
      </w:r>
    </w:p>
    <w:p w14:paraId="7AFA9350" w14:textId="77777777" w:rsidR="00B20DEB" w:rsidRDefault="00B20DEB" w:rsidP="006E65B7">
      <w:pPr>
        <w:pStyle w:val="NormalWeb"/>
        <w:rPr>
          <w:i/>
          <w:iCs/>
        </w:rPr>
      </w:pPr>
    </w:p>
    <w:p w14:paraId="6322B4B1" w14:textId="77777777" w:rsidR="00B20DEB" w:rsidRDefault="00B20DEB" w:rsidP="006E65B7">
      <w:pPr>
        <w:pStyle w:val="NormalWeb"/>
        <w:rPr>
          <w:i/>
          <w:iCs/>
        </w:rPr>
      </w:pPr>
    </w:p>
    <w:p w14:paraId="152D4370" w14:textId="77777777" w:rsidR="00B20DEB" w:rsidRDefault="00B20DEB" w:rsidP="006E65B7">
      <w:pPr>
        <w:pStyle w:val="NormalWeb"/>
        <w:rPr>
          <w:i/>
          <w:iCs/>
        </w:rPr>
      </w:pPr>
    </w:p>
    <w:p w14:paraId="5F1A6DF1" w14:textId="77777777" w:rsidR="00B20DEB" w:rsidRDefault="00B20DEB" w:rsidP="006E65B7">
      <w:pPr>
        <w:pStyle w:val="NormalWeb"/>
        <w:rPr>
          <w:i/>
          <w:iCs/>
        </w:rPr>
      </w:pPr>
    </w:p>
    <w:p w14:paraId="45F56DE4" w14:textId="77777777" w:rsidR="00B20DEB" w:rsidRDefault="00B20DEB" w:rsidP="006E65B7">
      <w:pPr>
        <w:pStyle w:val="NormalWeb"/>
        <w:rPr>
          <w:i/>
          <w:iCs/>
        </w:rPr>
      </w:pPr>
    </w:p>
    <w:p w14:paraId="6826B8FB" w14:textId="77777777" w:rsidR="00B20DEB" w:rsidRDefault="00B20DEB" w:rsidP="006E65B7">
      <w:pPr>
        <w:pStyle w:val="NormalWeb"/>
        <w:rPr>
          <w:i/>
          <w:iCs/>
        </w:rPr>
      </w:pPr>
    </w:p>
    <w:p w14:paraId="21144AC8" w14:textId="77777777" w:rsidR="00B20DEB" w:rsidRDefault="00B20DEB" w:rsidP="006E65B7">
      <w:pPr>
        <w:pStyle w:val="NormalWeb"/>
        <w:rPr>
          <w:i/>
          <w:iCs/>
        </w:rPr>
      </w:pPr>
    </w:p>
    <w:p w14:paraId="7AAA2900" w14:textId="77777777" w:rsidR="00B20DEB" w:rsidRDefault="00B20DEB" w:rsidP="006E65B7">
      <w:pPr>
        <w:pStyle w:val="NormalWeb"/>
        <w:rPr>
          <w:i/>
          <w:iCs/>
        </w:rPr>
      </w:pPr>
    </w:p>
    <w:p w14:paraId="62E9566E" w14:textId="77777777" w:rsidR="00B20DEB" w:rsidRDefault="00B20DEB" w:rsidP="006E65B7">
      <w:pPr>
        <w:pStyle w:val="NormalWeb"/>
        <w:rPr>
          <w:i/>
          <w:iCs/>
        </w:rPr>
      </w:pPr>
    </w:p>
    <w:p w14:paraId="69E15196" w14:textId="77777777" w:rsidR="00B20DEB" w:rsidRDefault="00B20DEB" w:rsidP="006E65B7">
      <w:pPr>
        <w:pStyle w:val="NormalWeb"/>
        <w:rPr>
          <w:i/>
          <w:iCs/>
        </w:rPr>
      </w:pPr>
    </w:p>
    <w:p w14:paraId="7C10EFD8" w14:textId="77777777" w:rsidR="009750B1" w:rsidRDefault="009750B1">
      <w:pPr>
        <w:rPr>
          <w:rFonts w:ascii="Times New Roman" w:eastAsia="Times New Roman" w:hAnsi="Times New Roman" w:cs="Times New Roman"/>
          <w:b/>
          <w:bCs/>
          <w:kern w:val="0"/>
          <w:sz w:val="24"/>
          <w:szCs w:val="24"/>
          <w:u w:val="single"/>
          <w:lang w:eastAsia="en-GB"/>
          <w14:ligatures w14:val="none"/>
        </w:rPr>
      </w:pPr>
      <w:r>
        <w:rPr>
          <w:b/>
          <w:bCs/>
          <w:u w:val="single"/>
        </w:rPr>
        <w:br w:type="page"/>
      </w:r>
    </w:p>
    <w:p w14:paraId="71CFFFBE" w14:textId="77777777" w:rsidR="009750B1" w:rsidRDefault="009750B1" w:rsidP="006E65B7">
      <w:pPr>
        <w:pStyle w:val="NormalWeb"/>
        <w:rPr>
          <w:b/>
          <w:bCs/>
          <w:u w:val="single"/>
        </w:rPr>
      </w:pPr>
    </w:p>
    <w:p w14:paraId="50C71BC6" w14:textId="30CE34E5" w:rsidR="00B20DEB" w:rsidRDefault="00B20DEB" w:rsidP="006E65B7">
      <w:pPr>
        <w:pStyle w:val="NormalWeb"/>
        <w:rPr>
          <w:b/>
          <w:bCs/>
          <w:u w:val="single"/>
        </w:rPr>
      </w:pPr>
      <w:r w:rsidRPr="00B20DEB">
        <w:rPr>
          <w:b/>
          <w:bCs/>
          <w:u w:val="single"/>
        </w:rPr>
        <w:t>Section Two</w:t>
      </w:r>
      <w:r w:rsidR="007B3A27">
        <w:rPr>
          <w:b/>
          <w:bCs/>
          <w:u w:val="single"/>
        </w:rPr>
        <w:t xml:space="preserve"> (only to </w:t>
      </w:r>
      <w:r w:rsidR="0072107C">
        <w:rPr>
          <w:b/>
          <w:bCs/>
          <w:u w:val="single"/>
        </w:rPr>
        <w:t xml:space="preserve">be </w:t>
      </w:r>
      <w:r w:rsidR="007B3A27">
        <w:rPr>
          <w:b/>
          <w:bCs/>
          <w:u w:val="single"/>
        </w:rPr>
        <w:t>completed post-approval of proposed project)</w:t>
      </w:r>
    </w:p>
    <w:tbl>
      <w:tblPr>
        <w:tblStyle w:val="TableGrid"/>
        <w:tblW w:w="0" w:type="auto"/>
        <w:tblLook w:val="04A0" w:firstRow="1" w:lastRow="0" w:firstColumn="1" w:lastColumn="0" w:noHBand="0" w:noVBand="1"/>
      </w:tblPr>
      <w:tblGrid>
        <w:gridCol w:w="4508"/>
        <w:gridCol w:w="4508"/>
      </w:tblGrid>
      <w:tr w:rsidR="00B20DEB" w14:paraId="293B7A1F" w14:textId="77777777" w:rsidTr="00B20DEB">
        <w:tc>
          <w:tcPr>
            <w:tcW w:w="4508" w:type="dxa"/>
          </w:tcPr>
          <w:p w14:paraId="4888E435" w14:textId="36903A06" w:rsidR="00B20DEB" w:rsidRDefault="00B20DEB" w:rsidP="00B20DEB">
            <w:pPr>
              <w:pStyle w:val="NormalWeb"/>
            </w:pPr>
            <w:r w:rsidRPr="00A0435A">
              <w:rPr>
                <w:rFonts w:ascii="ArialMT" w:hAnsi="ArialMT" w:cs="ArialMT"/>
                <w:color w:val="737373"/>
                <w:sz w:val="20"/>
                <w:szCs w:val="20"/>
                <w:lang w:val="en-IE"/>
              </w:rPr>
              <w:t xml:space="preserve">Title of the </w:t>
            </w:r>
            <w:r w:rsidRPr="007B3A27">
              <w:rPr>
                <w:rFonts w:ascii="ArialMT" w:hAnsi="ArialMT" w:cs="ArialMT"/>
                <w:b/>
                <w:bCs/>
                <w:color w:val="737373"/>
                <w:sz w:val="20"/>
                <w:szCs w:val="20"/>
                <w:lang w:val="en-IE"/>
              </w:rPr>
              <w:t xml:space="preserve">Meeting </w:t>
            </w:r>
          </w:p>
        </w:tc>
        <w:tc>
          <w:tcPr>
            <w:tcW w:w="4508" w:type="dxa"/>
          </w:tcPr>
          <w:p w14:paraId="46A7AA42" w14:textId="560EBFA9" w:rsidR="00B20DEB" w:rsidRDefault="00B20DEB" w:rsidP="00B20DEB">
            <w:pPr>
              <w:pStyle w:val="NormalWeb"/>
            </w:pPr>
          </w:p>
        </w:tc>
      </w:tr>
      <w:tr w:rsidR="00B20DEB" w14:paraId="4ACD3346" w14:textId="77777777" w:rsidTr="00B20DEB">
        <w:tc>
          <w:tcPr>
            <w:tcW w:w="4508" w:type="dxa"/>
          </w:tcPr>
          <w:p w14:paraId="69C8D06D" w14:textId="5CD75490" w:rsidR="00B20DEB" w:rsidRDefault="00B20DEB" w:rsidP="00B20DEB">
            <w:pPr>
              <w:pStyle w:val="NormalWeb"/>
            </w:pPr>
            <w:r w:rsidRPr="00A0435A">
              <w:rPr>
                <w:rFonts w:ascii="ArialMT" w:hAnsi="ArialMT" w:cs="ArialMT"/>
                <w:color w:val="737373"/>
                <w:sz w:val="20"/>
                <w:szCs w:val="20"/>
                <w:lang w:val="en-IE"/>
              </w:rPr>
              <w:t>Meeting Type(s)</w:t>
            </w:r>
          </w:p>
        </w:tc>
        <w:tc>
          <w:tcPr>
            <w:tcW w:w="4508" w:type="dxa"/>
          </w:tcPr>
          <w:p w14:paraId="57F0C548" w14:textId="0EDB9B2D" w:rsidR="00B20DEB" w:rsidRDefault="00B20DEB" w:rsidP="00B20DEB">
            <w:pPr>
              <w:pStyle w:val="NormalWeb"/>
            </w:pPr>
          </w:p>
        </w:tc>
      </w:tr>
      <w:tr w:rsidR="00B20DEB" w14:paraId="73E847EA" w14:textId="77777777" w:rsidTr="00B20DEB">
        <w:tc>
          <w:tcPr>
            <w:tcW w:w="4508" w:type="dxa"/>
          </w:tcPr>
          <w:p w14:paraId="121BADDE" w14:textId="77777777" w:rsidR="00B20DEB" w:rsidRDefault="00B20DEB" w:rsidP="00B20DEB">
            <w:pPr>
              <w:pStyle w:val="NormalWeb"/>
              <w:rPr>
                <w:rFonts w:ascii="ArialMT" w:hAnsi="ArialMT" w:cs="ArialMT"/>
                <w:color w:val="737373"/>
                <w:sz w:val="20"/>
                <w:szCs w:val="20"/>
                <w:lang w:val="en-IE"/>
              </w:rPr>
            </w:pPr>
            <w:r w:rsidRPr="00A0435A">
              <w:rPr>
                <w:rFonts w:ascii="ArialMT" w:hAnsi="ArialMT" w:cs="ArialMT"/>
                <w:color w:val="737373"/>
                <w:sz w:val="20"/>
                <w:szCs w:val="20"/>
                <w:lang w:val="en-IE"/>
              </w:rPr>
              <w:t>Grant Period Goal(s) it will</w:t>
            </w:r>
            <w:r>
              <w:rPr>
                <w:rFonts w:ascii="ArialMT" w:hAnsi="ArialMT" w:cs="ArialMT"/>
                <w:color w:val="737373"/>
                <w:sz w:val="20"/>
                <w:szCs w:val="20"/>
                <w:lang w:val="en-IE"/>
              </w:rPr>
              <w:t xml:space="preserve"> address</w:t>
            </w:r>
          </w:p>
          <w:p w14:paraId="075EC66C" w14:textId="77777777" w:rsidR="007B3A27" w:rsidRDefault="007B3A27" w:rsidP="00B20DEB">
            <w:pPr>
              <w:pStyle w:val="NormalWeb"/>
            </w:pPr>
          </w:p>
          <w:p w14:paraId="3870B74F" w14:textId="77777777" w:rsidR="007B3A27" w:rsidRDefault="007B3A27" w:rsidP="00B20DEB">
            <w:pPr>
              <w:pStyle w:val="NormalWeb"/>
            </w:pPr>
          </w:p>
          <w:p w14:paraId="3D34CF49" w14:textId="52C1C9C4" w:rsidR="007B3A27" w:rsidRDefault="007B3A27" w:rsidP="00B20DEB">
            <w:pPr>
              <w:pStyle w:val="NormalWeb"/>
            </w:pPr>
          </w:p>
        </w:tc>
        <w:tc>
          <w:tcPr>
            <w:tcW w:w="4508" w:type="dxa"/>
          </w:tcPr>
          <w:p w14:paraId="2E00E89B" w14:textId="6F66380C" w:rsidR="00B20DEB" w:rsidRDefault="00B20DEB" w:rsidP="00B20DEB">
            <w:pPr>
              <w:pStyle w:val="NormalWeb"/>
            </w:pPr>
          </w:p>
        </w:tc>
      </w:tr>
      <w:tr w:rsidR="00B20DEB" w14:paraId="628A2198" w14:textId="77777777" w:rsidTr="00B20DEB">
        <w:tc>
          <w:tcPr>
            <w:tcW w:w="4508" w:type="dxa"/>
          </w:tcPr>
          <w:p w14:paraId="5904672D" w14:textId="77777777" w:rsidR="00B20DEB" w:rsidRDefault="00B20DEB" w:rsidP="00B20DEB">
            <w:pPr>
              <w:pStyle w:val="NormalWeb"/>
              <w:rPr>
                <w:rFonts w:ascii="ArialMT" w:hAnsi="ArialMT" w:cs="ArialMT"/>
                <w:color w:val="737373"/>
                <w:sz w:val="20"/>
                <w:szCs w:val="20"/>
                <w:lang w:val="en-IE"/>
              </w:rPr>
            </w:pPr>
            <w:r w:rsidRPr="00A0435A">
              <w:rPr>
                <w:rFonts w:ascii="ArialMT" w:hAnsi="ArialMT" w:cs="ArialMT"/>
                <w:color w:val="737373"/>
                <w:sz w:val="20"/>
                <w:szCs w:val="20"/>
                <w:lang w:val="en-IE"/>
              </w:rPr>
              <w:t>Description</w:t>
            </w:r>
          </w:p>
          <w:p w14:paraId="5941C317" w14:textId="77777777" w:rsidR="007B3A27" w:rsidRDefault="007B3A27" w:rsidP="00B20DEB">
            <w:pPr>
              <w:pStyle w:val="NormalWeb"/>
            </w:pPr>
          </w:p>
          <w:p w14:paraId="791D8FA0" w14:textId="77777777" w:rsidR="007B3A27" w:rsidRDefault="007B3A27" w:rsidP="00B20DEB">
            <w:pPr>
              <w:pStyle w:val="NormalWeb"/>
            </w:pPr>
          </w:p>
          <w:p w14:paraId="311BD265" w14:textId="182951C6" w:rsidR="007B3A27" w:rsidRDefault="007B3A27" w:rsidP="00B20DEB">
            <w:pPr>
              <w:pStyle w:val="NormalWeb"/>
            </w:pPr>
          </w:p>
        </w:tc>
        <w:tc>
          <w:tcPr>
            <w:tcW w:w="4508" w:type="dxa"/>
          </w:tcPr>
          <w:p w14:paraId="1363463C" w14:textId="3F810804" w:rsidR="00B20DEB" w:rsidRDefault="00B20DEB" w:rsidP="00B20DEB">
            <w:pPr>
              <w:pStyle w:val="NormalWeb"/>
            </w:pPr>
          </w:p>
        </w:tc>
      </w:tr>
      <w:tr w:rsidR="00B20DEB" w14:paraId="203E3E41" w14:textId="77777777" w:rsidTr="00B20DEB">
        <w:tc>
          <w:tcPr>
            <w:tcW w:w="4508" w:type="dxa"/>
          </w:tcPr>
          <w:p w14:paraId="2D21E6D3" w14:textId="77777777" w:rsidR="00B20DEB" w:rsidRDefault="00B20DEB" w:rsidP="007B3A27">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 xml:space="preserve">Output(s) </w:t>
            </w:r>
          </w:p>
          <w:p w14:paraId="227D78BA" w14:textId="77777777" w:rsidR="007B3A27" w:rsidRDefault="007B3A27" w:rsidP="007B3A27">
            <w:pPr>
              <w:autoSpaceDE w:val="0"/>
              <w:autoSpaceDN w:val="0"/>
              <w:adjustRightInd w:val="0"/>
              <w:rPr>
                <w:rFonts w:ascii="ArialMT" w:hAnsi="ArialMT" w:cs="ArialMT"/>
                <w:color w:val="737373"/>
                <w:kern w:val="0"/>
                <w:sz w:val="20"/>
                <w:szCs w:val="20"/>
                <w:lang w:val="en-IE"/>
              </w:rPr>
            </w:pPr>
          </w:p>
          <w:p w14:paraId="3E966790" w14:textId="77777777" w:rsidR="007B3A27" w:rsidRDefault="007B3A27" w:rsidP="007B3A27">
            <w:pPr>
              <w:autoSpaceDE w:val="0"/>
              <w:autoSpaceDN w:val="0"/>
              <w:adjustRightInd w:val="0"/>
              <w:rPr>
                <w:rFonts w:ascii="ArialMT" w:hAnsi="ArialMT" w:cs="ArialMT"/>
                <w:color w:val="737373"/>
                <w:kern w:val="0"/>
                <w:sz w:val="20"/>
                <w:szCs w:val="20"/>
                <w:lang w:val="en-IE"/>
              </w:rPr>
            </w:pPr>
          </w:p>
          <w:p w14:paraId="6837AE17" w14:textId="5F2E2D31" w:rsidR="007B3A27" w:rsidRPr="007B3A27" w:rsidRDefault="007B3A27" w:rsidP="007B3A27">
            <w:pPr>
              <w:autoSpaceDE w:val="0"/>
              <w:autoSpaceDN w:val="0"/>
              <w:adjustRightInd w:val="0"/>
              <w:rPr>
                <w:rFonts w:ascii="ArialMT" w:hAnsi="ArialMT" w:cs="ArialMT"/>
                <w:color w:val="737373"/>
                <w:kern w:val="0"/>
                <w:sz w:val="20"/>
                <w:szCs w:val="20"/>
                <w:lang w:val="en-IE"/>
              </w:rPr>
            </w:pPr>
          </w:p>
        </w:tc>
        <w:tc>
          <w:tcPr>
            <w:tcW w:w="4508" w:type="dxa"/>
          </w:tcPr>
          <w:p w14:paraId="3B1E9B72" w14:textId="4EECE8F0" w:rsidR="00B20DEB" w:rsidRDefault="00B20DEB" w:rsidP="00B20DEB">
            <w:pPr>
              <w:pStyle w:val="NormalWeb"/>
            </w:pPr>
          </w:p>
        </w:tc>
      </w:tr>
      <w:tr w:rsidR="007B3A27" w14:paraId="4EA14BFA" w14:textId="77777777" w:rsidTr="00B20DEB">
        <w:tc>
          <w:tcPr>
            <w:tcW w:w="4508" w:type="dxa"/>
          </w:tcPr>
          <w:p w14:paraId="65C0CA9D" w14:textId="621C50D4" w:rsidR="007B3A27" w:rsidRDefault="007B3A27" w:rsidP="007B3A27">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Location</w:t>
            </w:r>
          </w:p>
        </w:tc>
        <w:tc>
          <w:tcPr>
            <w:tcW w:w="4508" w:type="dxa"/>
          </w:tcPr>
          <w:p w14:paraId="3029CCC4" w14:textId="77777777" w:rsidR="007B3A27" w:rsidRDefault="007B3A27" w:rsidP="00B20DEB">
            <w:pPr>
              <w:pStyle w:val="NormalWeb"/>
            </w:pPr>
          </w:p>
        </w:tc>
      </w:tr>
      <w:tr w:rsidR="007B3A27" w14:paraId="035024AA" w14:textId="77777777" w:rsidTr="00B20DEB">
        <w:tc>
          <w:tcPr>
            <w:tcW w:w="4508" w:type="dxa"/>
          </w:tcPr>
          <w:p w14:paraId="76C39447" w14:textId="5A17C755" w:rsidR="007B3A27" w:rsidRDefault="007B3A27" w:rsidP="007B3A27">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ITC (Yes/No)</w:t>
            </w:r>
          </w:p>
        </w:tc>
        <w:tc>
          <w:tcPr>
            <w:tcW w:w="4508" w:type="dxa"/>
          </w:tcPr>
          <w:p w14:paraId="481C5E08" w14:textId="77777777" w:rsidR="007B3A27" w:rsidRDefault="007B3A27" w:rsidP="00B20DEB">
            <w:pPr>
              <w:pStyle w:val="NormalWeb"/>
            </w:pPr>
          </w:p>
        </w:tc>
      </w:tr>
      <w:tr w:rsidR="00B20DEB" w14:paraId="739A3ADE" w14:textId="77777777" w:rsidTr="00B20DEB">
        <w:tc>
          <w:tcPr>
            <w:tcW w:w="4508" w:type="dxa"/>
          </w:tcPr>
          <w:p w14:paraId="0EE7154A" w14:textId="4D1F5F43" w:rsidR="00B20DEB" w:rsidRDefault="00B20DEB" w:rsidP="00B20DEB">
            <w:pPr>
              <w:pStyle w:val="NormalWeb"/>
            </w:pPr>
            <w:r>
              <w:rPr>
                <w:rFonts w:ascii="ArialMT" w:hAnsi="ArialMT" w:cs="ArialMT"/>
                <w:color w:val="737373"/>
                <w:sz w:val="20"/>
                <w:szCs w:val="20"/>
                <w:lang w:val="en-IE"/>
              </w:rPr>
              <w:t>Start Date</w:t>
            </w:r>
          </w:p>
        </w:tc>
        <w:tc>
          <w:tcPr>
            <w:tcW w:w="4508" w:type="dxa"/>
          </w:tcPr>
          <w:p w14:paraId="52286AE8" w14:textId="71B13114" w:rsidR="00B20DEB" w:rsidRDefault="00B20DEB" w:rsidP="00B20DEB">
            <w:pPr>
              <w:pStyle w:val="NormalWeb"/>
            </w:pPr>
          </w:p>
        </w:tc>
      </w:tr>
      <w:tr w:rsidR="00B20DEB" w14:paraId="0843CC8B" w14:textId="77777777" w:rsidTr="00B20DEB">
        <w:tc>
          <w:tcPr>
            <w:tcW w:w="4508" w:type="dxa"/>
          </w:tcPr>
          <w:p w14:paraId="7ED148C3" w14:textId="5FF772A9" w:rsidR="00B20DEB" w:rsidRDefault="00B20DEB" w:rsidP="00B20DEB">
            <w:pPr>
              <w:pStyle w:val="NormalWeb"/>
            </w:pPr>
            <w:r>
              <w:rPr>
                <w:rFonts w:ascii="ArialMT" w:hAnsi="ArialMT" w:cs="ArialMT"/>
                <w:color w:val="737373"/>
                <w:sz w:val="20"/>
                <w:szCs w:val="20"/>
                <w:lang w:val="en-IE"/>
              </w:rPr>
              <w:t>End Date</w:t>
            </w:r>
          </w:p>
        </w:tc>
        <w:tc>
          <w:tcPr>
            <w:tcW w:w="4508" w:type="dxa"/>
          </w:tcPr>
          <w:p w14:paraId="3DE15341" w14:textId="0432D2B4" w:rsidR="00B20DEB" w:rsidRDefault="00B20DEB" w:rsidP="00B20DEB">
            <w:pPr>
              <w:pStyle w:val="NormalWeb"/>
            </w:pPr>
          </w:p>
        </w:tc>
      </w:tr>
      <w:tr w:rsidR="00B20DEB" w14:paraId="41F179FC" w14:textId="77777777" w:rsidTr="00B20DEB">
        <w:tc>
          <w:tcPr>
            <w:tcW w:w="4508" w:type="dxa"/>
          </w:tcPr>
          <w:p w14:paraId="2C0AA180" w14:textId="4AB0C344" w:rsidR="00B20DEB" w:rsidRDefault="00B20DEB" w:rsidP="00B20DEB">
            <w:pPr>
              <w:pStyle w:val="NormalWeb"/>
            </w:pPr>
            <w:r>
              <w:rPr>
                <w:rFonts w:ascii="ArialMT" w:hAnsi="ArialMT" w:cs="ArialMT"/>
                <w:color w:val="737373"/>
                <w:sz w:val="20"/>
                <w:szCs w:val="20"/>
                <w:lang w:val="en-IE"/>
              </w:rPr>
              <w:t>Duration</w:t>
            </w:r>
          </w:p>
        </w:tc>
        <w:tc>
          <w:tcPr>
            <w:tcW w:w="4508" w:type="dxa"/>
          </w:tcPr>
          <w:p w14:paraId="2EE27D66" w14:textId="5B529158" w:rsidR="00B20DEB" w:rsidRDefault="00B20DEB" w:rsidP="00B20DEB">
            <w:pPr>
              <w:pStyle w:val="NormalWeb"/>
            </w:pPr>
          </w:p>
        </w:tc>
      </w:tr>
      <w:tr w:rsidR="00B20DEB" w14:paraId="0E789E63" w14:textId="77777777" w:rsidTr="00B20DEB">
        <w:tc>
          <w:tcPr>
            <w:tcW w:w="4508" w:type="dxa"/>
          </w:tcPr>
          <w:p w14:paraId="68D53D83" w14:textId="2751FE09" w:rsidR="00B20DEB" w:rsidRDefault="00B20DEB" w:rsidP="00B20DEB">
            <w:pPr>
              <w:pStyle w:val="NormalWeb"/>
              <w:rPr>
                <w:rFonts w:ascii="ArialMT" w:hAnsi="ArialMT" w:cs="ArialMT"/>
                <w:color w:val="737373"/>
                <w:sz w:val="20"/>
                <w:szCs w:val="20"/>
                <w:lang w:val="en-IE"/>
              </w:rPr>
            </w:pPr>
            <w:r>
              <w:rPr>
                <w:rFonts w:ascii="ArialMT" w:hAnsi="ArialMT" w:cs="ArialMT"/>
                <w:color w:val="737373"/>
                <w:sz w:val="20"/>
                <w:szCs w:val="20"/>
                <w:lang w:val="en-IE"/>
              </w:rPr>
              <w:t>Attendance Type</w:t>
            </w:r>
            <w:r w:rsidR="007B3A27">
              <w:rPr>
                <w:rFonts w:ascii="ArialMT" w:hAnsi="ArialMT" w:cs="ArialMT"/>
                <w:color w:val="737373"/>
                <w:sz w:val="20"/>
                <w:szCs w:val="20"/>
                <w:lang w:val="en-IE"/>
              </w:rPr>
              <w:t xml:space="preserve"> (Virtual/Face to Face)</w:t>
            </w:r>
          </w:p>
        </w:tc>
        <w:tc>
          <w:tcPr>
            <w:tcW w:w="4508" w:type="dxa"/>
          </w:tcPr>
          <w:p w14:paraId="57A5CB64" w14:textId="77777777" w:rsidR="00B20DEB" w:rsidRDefault="00B20DEB" w:rsidP="00B20DEB">
            <w:pPr>
              <w:pStyle w:val="NormalWeb"/>
            </w:pPr>
          </w:p>
        </w:tc>
      </w:tr>
      <w:tr w:rsidR="00B20DEB" w14:paraId="751BDC71" w14:textId="77777777" w:rsidTr="00B20DEB">
        <w:tc>
          <w:tcPr>
            <w:tcW w:w="4508" w:type="dxa"/>
          </w:tcPr>
          <w:p w14:paraId="66F1DE30" w14:textId="75DAB7EB" w:rsidR="00B20DEB" w:rsidRPr="00B20DEB" w:rsidRDefault="00B20DEB" w:rsidP="00B20DEB">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Total number of expected participants</w:t>
            </w:r>
          </w:p>
        </w:tc>
        <w:tc>
          <w:tcPr>
            <w:tcW w:w="4508" w:type="dxa"/>
          </w:tcPr>
          <w:p w14:paraId="67E5C74E" w14:textId="77777777" w:rsidR="00B20DEB" w:rsidRDefault="00B20DEB" w:rsidP="00B20DEB">
            <w:pPr>
              <w:pStyle w:val="NormalWeb"/>
            </w:pPr>
          </w:p>
        </w:tc>
      </w:tr>
      <w:tr w:rsidR="00B20DEB" w14:paraId="7C4F05DD" w14:textId="77777777" w:rsidTr="00B20DEB">
        <w:tc>
          <w:tcPr>
            <w:tcW w:w="4508" w:type="dxa"/>
          </w:tcPr>
          <w:p w14:paraId="6E47D104" w14:textId="62CE9B59" w:rsidR="00B20DEB" w:rsidRDefault="00B20DEB" w:rsidP="00B20DEB">
            <w:pPr>
              <w:autoSpaceDE w:val="0"/>
              <w:autoSpaceDN w:val="0"/>
              <w:adjustRightInd w:val="0"/>
              <w:rPr>
                <w:rFonts w:ascii="ArialMT" w:hAnsi="ArialMT" w:cs="ArialMT"/>
                <w:color w:val="737373"/>
                <w:sz w:val="20"/>
                <w:szCs w:val="20"/>
                <w:lang w:val="en-IE"/>
              </w:rPr>
            </w:pPr>
            <w:r>
              <w:rPr>
                <w:rFonts w:ascii="ArialMT" w:hAnsi="ArialMT" w:cs="ArialMT"/>
                <w:color w:val="737373"/>
                <w:kern w:val="0"/>
                <w:sz w:val="20"/>
                <w:szCs w:val="20"/>
                <w:lang w:val="en-IE"/>
              </w:rPr>
              <w:t>Number of participants expected to be reimbursed from COST funds</w:t>
            </w:r>
          </w:p>
        </w:tc>
        <w:tc>
          <w:tcPr>
            <w:tcW w:w="4508" w:type="dxa"/>
          </w:tcPr>
          <w:p w14:paraId="542A781E" w14:textId="77777777" w:rsidR="00B20DEB" w:rsidRDefault="00B20DEB" w:rsidP="00B20DEB">
            <w:pPr>
              <w:pStyle w:val="NormalWeb"/>
            </w:pPr>
          </w:p>
        </w:tc>
      </w:tr>
      <w:tr w:rsidR="007B3A27" w14:paraId="53C87692" w14:textId="77777777" w:rsidTr="00B20DEB">
        <w:tc>
          <w:tcPr>
            <w:tcW w:w="4508" w:type="dxa"/>
          </w:tcPr>
          <w:p w14:paraId="32688E23" w14:textId="73A51679" w:rsidR="007B3A27" w:rsidRDefault="007B3A27" w:rsidP="00B20DEB">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Daily allowance (EUR)</w:t>
            </w:r>
          </w:p>
        </w:tc>
        <w:tc>
          <w:tcPr>
            <w:tcW w:w="4508" w:type="dxa"/>
          </w:tcPr>
          <w:p w14:paraId="702197C6" w14:textId="7DE3C8C3" w:rsidR="007B3A27" w:rsidRPr="007B3A27" w:rsidRDefault="007B3A27" w:rsidP="00B20DEB">
            <w:pPr>
              <w:pStyle w:val="NormalWeb"/>
              <w:rPr>
                <w:i/>
                <w:iCs/>
              </w:rPr>
            </w:pPr>
            <w:r w:rsidRPr="007B3A27">
              <w:rPr>
                <w:i/>
                <w:iCs/>
              </w:rPr>
              <w:t>For office use</w:t>
            </w:r>
          </w:p>
        </w:tc>
      </w:tr>
      <w:tr w:rsidR="00B20DEB" w14:paraId="37A09D5B" w14:textId="77777777" w:rsidTr="00B20DEB">
        <w:tc>
          <w:tcPr>
            <w:tcW w:w="4508" w:type="dxa"/>
          </w:tcPr>
          <w:p w14:paraId="59A2F08C" w14:textId="055D8D6F" w:rsidR="00B20DEB" w:rsidRDefault="007B3A27" w:rsidP="007B3A27">
            <w:pPr>
              <w:autoSpaceDE w:val="0"/>
              <w:autoSpaceDN w:val="0"/>
              <w:adjustRightInd w:val="0"/>
              <w:rPr>
                <w:rFonts w:ascii="ArialMT" w:hAnsi="ArialMT" w:cs="ArialMT"/>
                <w:color w:val="737373"/>
                <w:sz w:val="20"/>
                <w:szCs w:val="20"/>
                <w:lang w:val="en-IE"/>
              </w:rPr>
            </w:pPr>
            <w:r>
              <w:rPr>
                <w:rFonts w:ascii="ArialMT" w:hAnsi="ArialMT" w:cs="ArialMT"/>
                <w:color w:val="737373"/>
                <w:kern w:val="0"/>
                <w:sz w:val="20"/>
                <w:szCs w:val="20"/>
                <w:lang w:val="en-IE"/>
              </w:rPr>
              <w:t>Average number of daily allowances per participant</w:t>
            </w:r>
          </w:p>
        </w:tc>
        <w:tc>
          <w:tcPr>
            <w:tcW w:w="4508" w:type="dxa"/>
          </w:tcPr>
          <w:p w14:paraId="5AF30200" w14:textId="77777777" w:rsidR="00B20DEB" w:rsidRDefault="00B20DEB" w:rsidP="00B20DEB">
            <w:pPr>
              <w:pStyle w:val="NormalWeb"/>
            </w:pPr>
          </w:p>
        </w:tc>
      </w:tr>
      <w:tr w:rsidR="007B3A27" w14:paraId="06C0AC8A" w14:textId="77777777" w:rsidTr="00B20DEB">
        <w:tc>
          <w:tcPr>
            <w:tcW w:w="4508" w:type="dxa"/>
          </w:tcPr>
          <w:p w14:paraId="3910EA24" w14:textId="0301AFB2" w:rsidR="007B3A27" w:rsidRDefault="007B3A27" w:rsidP="007B3A27">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Average Long-Distance Costs (EUR)</w:t>
            </w:r>
          </w:p>
        </w:tc>
        <w:tc>
          <w:tcPr>
            <w:tcW w:w="4508" w:type="dxa"/>
          </w:tcPr>
          <w:p w14:paraId="58F33EE5" w14:textId="77777777" w:rsidR="007B3A27" w:rsidRDefault="007B3A27" w:rsidP="00B20DEB">
            <w:pPr>
              <w:pStyle w:val="NormalWeb"/>
            </w:pPr>
          </w:p>
        </w:tc>
      </w:tr>
      <w:tr w:rsidR="007B3A27" w14:paraId="1174AE6D" w14:textId="77777777" w:rsidTr="00B20DEB">
        <w:tc>
          <w:tcPr>
            <w:tcW w:w="4508" w:type="dxa"/>
          </w:tcPr>
          <w:p w14:paraId="4FC59CC0" w14:textId="3421F399" w:rsidR="007B3A27" w:rsidRDefault="007B3A27" w:rsidP="007B3A27">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Average reimbursement (per participant) (EUR)</w:t>
            </w:r>
          </w:p>
        </w:tc>
        <w:tc>
          <w:tcPr>
            <w:tcW w:w="4508" w:type="dxa"/>
          </w:tcPr>
          <w:p w14:paraId="6B1B4D63" w14:textId="11481264" w:rsidR="007B3A27" w:rsidRDefault="007B3A27" w:rsidP="00B20DEB">
            <w:pPr>
              <w:pStyle w:val="NormalWeb"/>
            </w:pPr>
            <w:r w:rsidRPr="007B3A27">
              <w:rPr>
                <w:i/>
                <w:iCs/>
              </w:rPr>
              <w:t>For office use</w:t>
            </w:r>
          </w:p>
        </w:tc>
      </w:tr>
      <w:tr w:rsidR="007B3A27" w14:paraId="7F91AC61" w14:textId="77777777" w:rsidTr="00B20DEB">
        <w:tc>
          <w:tcPr>
            <w:tcW w:w="4508" w:type="dxa"/>
          </w:tcPr>
          <w:p w14:paraId="4545C0CD" w14:textId="4805AA87" w:rsidR="007B3A27" w:rsidRDefault="007B3A27" w:rsidP="007B3A27">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Total Travel, Accommodation and</w:t>
            </w:r>
          </w:p>
          <w:p w14:paraId="6F07CA9C" w14:textId="20025503" w:rsidR="007B3A27" w:rsidRDefault="007B3A27" w:rsidP="007B3A27">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Subsistence Costs (EUR)</w:t>
            </w:r>
          </w:p>
        </w:tc>
        <w:tc>
          <w:tcPr>
            <w:tcW w:w="4508" w:type="dxa"/>
          </w:tcPr>
          <w:p w14:paraId="18F4BA09" w14:textId="14F62FD7" w:rsidR="007B3A27" w:rsidRDefault="007B3A27" w:rsidP="00B20DEB">
            <w:pPr>
              <w:pStyle w:val="NormalWeb"/>
            </w:pPr>
            <w:r w:rsidRPr="007B3A27">
              <w:rPr>
                <w:i/>
                <w:iCs/>
              </w:rPr>
              <w:t>For office use</w:t>
            </w:r>
          </w:p>
        </w:tc>
      </w:tr>
      <w:tr w:rsidR="007B3A27" w14:paraId="70C427A3" w14:textId="77777777" w:rsidTr="00B20DEB">
        <w:tc>
          <w:tcPr>
            <w:tcW w:w="4508" w:type="dxa"/>
          </w:tcPr>
          <w:p w14:paraId="68AA2E41" w14:textId="3635A45A" w:rsidR="007B3A27" w:rsidRDefault="007B3A27" w:rsidP="007B3A27">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Total unique participants to be accounted for LOS grant</w:t>
            </w:r>
          </w:p>
        </w:tc>
        <w:tc>
          <w:tcPr>
            <w:tcW w:w="4508" w:type="dxa"/>
          </w:tcPr>
          <w:p w14:paraId="63BD5073" w14:textId="77777777" w:rsidR="007B3A27" w:rsidRDefault="007B3A27" w:rsidP="00B20DEB">
            <w:pPr>
              <w:pStyle w:val="NormalWeb"/>
            </w:pPr>
          </w:p>
        </w:tc>
      </w:tr>
      <w:tr w:rsidR="007B3A27" w14:paraId="424A0736" w14:textId="77777777" w:rsidTr="00B20DEB">
        <w:tc>
          <w:tcPr>
            <w:tcW w:w="4508" w:type="dxa"/>
          </w:tcPr>
          <w:p w14:paraId="52A5E8F2" w14:textId="037AED98" w:rsidR="007B3A27" w:rsidRDefault="007B3A27" w:rsidP="007B3A27">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Local Organiser Support (EUR)</w:t>
            </w:r>
          </w:p>
        </w:tc>
        <w:tc>
          <w:tcPr>
            <w:tcW w:w="4508" w:type="dxa"/>
          </w:tcPr>
          <w:p w14:paraId="41E67CAE" w14:textId="77777777" w:rsidR="007B3A27" w:rsidRDefault="007B3A27" w:rsidP="00B20DEB">
            <w:pPr>
              <w:pStyle w:val="NormalWeb"/>
            </w:pPr>
          </w:p>
        </w:tc>
      </w:tr>
      <w:tr w:rsidR="007B3A27" w14:paraId="1C883CB6" w14:textId="77777777" w:rsidTr="00B20DEB">
        <w:tc>
          <w:tcPr>
            <w:tcW w:w="4508" w:type="dxa"/>
          </w:tcPr>
          <w:p w14:paraId="28D16A18" w14:textId="6794151E" w:rsidR="007B3A27" w:rsidRDefault="007B3A27" w:rsidP="007B3A27">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Total Cost</w:t>
            </w:r>
          </w:p>
        </w:tc>
        <w:tc>
          <w:tcPr>
            <w:tcW w:w="4508" w:type="dxa"/>
          </w:tcPr>
          <w:p w14:paraId="04DFE607" w14:textId="7D32B9F2" w:rsidR="007B3A27" w:rsidRPr="007B3A27" w:rsidRDefault="007B3A27" w:rsidP="00B20DEB">
            <w:pPr>
              <w:pStyle w:val="NormalWeb"/>
              <w:rPr>
                <w:i/>
                <w:iCs/>
              </w:rPr>
            </w:pPr>
            <w:r>
              <w:rPr>
                <w:i/>
                <w:iCs/>
              </w:rPr>
              <w:t>For office use</w:t>
            </w:r>
          </w:p>
        </w:tc>
      </w:tr>
    </w:tbl>
    <w:p w14:paraId="63B35C43" w14:textId="77777777" w:rsidR="00B20DEB" w:rsidRDefault="00B20DEB" w:rsidP="006E65B7">
      <w:pPr>
        <w:pStyle w:val="NormalWeb"/>
      </w:pPr>
    </w:p>
    <w:p w14:paraId="337F8F93" w14:textId="77777777" w:rsidR="007B3A27" w:rsidRDefault="007B3A27" w:rsidP="006E65B7">
      <w:pPr>
        <w:pStyle w:val="NormalWeb"/>
      </w:pPr>
    </w:p>
    <w:tbl>
      <w:tblPr>
        <w:tblStyle w:val="TableGrid"/>
        <w:tblW w:w="0" w:type="auto"/>
        <w:tblLook w:val="04A0" w:firstRow="1" w:lastRow="0" w:firstColumn="1" w:lastColumn="0" w:noHBand="0" w:noVBand="1"/>
      </w:tblPr>
      <w:tblGrid>
        <w:gridCol w:w="4508"/>
        <w:gridCol w:w="4508"/>
      </w:tblGrid>
      <w:tr w:rsidR="007B3A27" w14:paraId="6FECE0DC" w14:textId="77777777" w:rsidTr="00743BA3">
        <w:tc>
          <w:tcPr>
            <w:tcW w:w="4508" w:type="dxa"/>
          </w:tcPr>
          <w:p w14:paraId="6957DA80" w14:textId="3FA8AB62" w:rsidR="007B3A27" w:rsidRDefault="007B3A27" w:rsidP="00743BA3">
            <w:pPr>
              <w:pStyle w:val="NormalWeb"/>
            </w:pPr>
            <w:r w:rsidRPr="00A0435A">
              <w:rPr>
                <w:rFonts w:ascii="ArialMT" w:hAnsi="ArialMT" w:cs="ArialMT"/>
                <w:color w:val="737373"/>
                <w:sz w:val="20"/>
                <w:szCs w:val="20"/>
                <w:lang w:val="en-IE"/>
              </w:rPr>
              <w:t xml:space="preserve">Title of the </w:t>
            </w:r>
            <w:r w:rsidRPr="007B3A27">
              <w:rPr>
                <w:rFonts w:ascii="ArialMT" w:hAnsi="ArialMT" w:cs="ArialMT"/>
                <w:b/>
                <w:bCs/>
                <w:color w:val="737373"/>
                <w:sz w:val="20"/>
                <w:szCs w:val="20"/>
                <w:lang w:val="en-IE"/>
              </w:rPr>
              <w:t>Training School</w:t>
            </w:r>
            <w:r>
              <w:rPr>
                <w:rFonts w:ascii="ArialMT" w:hAnsi="ArialMT" w:cs="ArialMT"/>
                <w:color w:val="737373"/>
                <w:sz w:val="20"/>
                <w:szCs w:val="20"/>
                <w:lang w:val="en-IE"/>
              </w:rPr>
              <w:t xml:space="preserve"> </w:t>
            </w:r>
          </w:p>
        </w:tc>
        <w:tc>
          <w:tcPr>
            <w:tcW w:w="4508" w:type="dxa"/>
          </w:tcPr>
          <w:p w14:paraId="6A664188" w14:textId="77777777" w:rsidR="007B3A27" w:rsidRDefault="007B3A27" w:rsidP="00743BA3">
            <w:pPr>
              <w:pStyle w:val="NormalWeb"/>
            </w:pPr>
          </w:p>
        </w:tc>
      </w:tr>
      <w:tr w:rsidR="007B3A27" w14:paraId="57FF9B30" w14:textId="77777777" w:rsidTr="00743BA3">
        <w:tc>
          <w:tcPr>
            <w:tcW w:w="4508" w:type="dxa"/>
          </w:tcPr>
          <w:p w14:paraId="439C3C54" w14:textId="77777777" w:rsidR="007B3A27" w:rsidRDefault="007B3A27" w:rsidP="00743BA3">
            <w:pPr>
              <w:pStyle w:val="NormalWeb"/>
              <w:rPr>
                <w:rFonts w:ascii="ArialMT" w:hAnsi="ArialMT" w:cs="ArialMT"/>
                <w:color w:val="737373"/>
                <w:sz w:val="20"/>
                <w:szCs w:val="20"/>
                <w:lang w:val="en-IE"/>
              </w:rPr>
            </w:pPr>
            <w:r w:rsidRPr="00A0435A">
              <w:rPr>
                <w:rFonts w:ascii="ArialMT" w:hAnsi="ArialMT" w:cs="ArialMT"/>
                <w:color w:val="737373"/>
                <w:sz w:val="20"/>
                <w:szCs w:val="20"/>
                <w:lang w:val="en-IE"/>
              </w:rPr>
              <w:t>Grant Period Goal(s) it will</w:t>
            </w:r>
            <w:r>
              <w:rPr>
                <w:rFonts w:ascii="ArialMT" w:hAnsi="ArialMT" w:cs="ArialMT"/>
                <w:color w:val="737373"/>
                <w:sz w:val="20"/>
                <w:szCs w:val="20"/>
                <w:lang w:val="en-IE"/>
              </w:rPr>
              <w:t xml:space="preserve"> address</w:t>
            </w:r>
          </w:p>
          <w:p w14:paraId="5BC333A9" w14:textId="77777777" w:rsidR="007B3A27" w:rsidRDefault="007B3A27" w:rsidP="00743BA3">
            <w:pPr>
              <w:pStyle w:val="NormalWeb"/>
            </w:pPr>
          </w:p>
          <w:p w14:paraId="6AA1CFBB" w14:textId="77777777" w:rsidR="007B3A27" w:rsidRDefault="007B3A27" w:rsidP="00743BA3">
            <w:pPr>
              <w:pStyle w:val="NormalWeb"/>
            </w:pPr>
          </w:p>
          <w:p w14:paraId="5CAB2401" w14:textId="77777777" w:rsidR="007B3A27" w:rsidRDefault="007B3A27" w:rsidP="00743BA3">
            <w:pPr>
              <w:pStyle w:val="NormalWeb"/>
            </w:pPr>
          </w:p>
        </w:tc>
        <w:tc>
          <w:tcPr>
            <w:tcW w:w="4508" w:type="dxa"/>
          </w:tcPr>
          <w:p w14:paraId="2C9129DC" w14:textId="77777777" w:rsidR="007B3A27" w:rsidRDefault="007B3A27" w:rsidP="00743BA3">
            <w:pPr>
              <w:pStyle w:val="NormalWeb"/>
            </w:pPr>
          </w:p>
        </w:tc>
      </w:tr>
      <w:tr w:rsidR="007B3A27" w14:paraId="71C51872" w14:textId="77777777" w:rsidTr="00743BA3">
        <w:tc>
          <w:tcPr>
            <w:tcW w:w="4508" w:type="dxa"/>
          </w:tcPr>
          <w:p w14:paraId="03F1581C" w14:textId="77777777" w:rsidR="007B3A27" w:rsidRDefault="007B3A27" w:rsidP="00743BA3">
            <w:pPr>
              <w:pStyle w:val="NormalWeb"/>
              <w:rPr>
                <w:rFonts w:ascii="ArialMT" w:hAnsi="ArialMT" w:cs="ArialMT"/>
                <w:color w:val="737373"/>
                <w:sz w:val="20"/>
                <w:szCs w:val="20"/>
                <w:lang w:val="en-IE"/>
              </w:rPr>
            </w:pPr>
            <w:r w:rsidRPr="00A0435A">
              <w:rPr>
                <w:rFonts w:ascii="ArialMT" w:hAnsi="ArialMT" w:cs="ArialMT"/>
                <w:color w:val="737373"/>
                <w:sz w:val="20"/>
                <w:szCs w:val="20"/>
                <w:lang w:val="en-IE"/>
              </w:rPr>
              <w:t>Description</w:t>
            </w:r>
          </w:p>
          <w:p w14:paraId="5CCDCB37" w14:textId="77777777" w:rsidR="007B3A27" w:rsidRDefault="007B3A27" w:rsidP="00743BA3">
            <w:pPr>
              <w:pStyle w:val="NormalWeb"/>
            </w:pPr>
          </w:p>
          <w:p w14:paraId="5DF9DACA" w14:textId="77777777" w:rsidR="007B3A27" w:rsidRDefault="007B3A27" w:rsidP="00743BA3">
            <w:pPr>
              <w:pStyle w:val="NormalWeb"/>
            </w:pPr>
          </w:p>
          <w:p w14:paraId="554B611B" w14:textId="77777777" w:rsidR="007B3A27" w:rsidRDefault="007B3A27" w:rsidP="00743BA3">
            <w:pPr>
              <w:pStyle w:val="NormalWeb"/>
            </w:pPr>
          </w:p>
        </w:tc>
        <w:tc>
          <w:tcPr>
            <w:tcW w:w="4508" w:type="dxa"/>
          </w:tcPr>
          <w:p w14:paraId="47D92DF6" w14:textId="77777777" w:rsidR="007B3A27" w:rsidRDefault="007B3A27" w:rsidP="00743BA3">
            <w:pPr>
              <w:pStyle w:val="NormalWeb"/>
            </w:pPr>
          </w:p>
        </w:tc>
      </w:tr>
      <w:tr w:rsidR="007B3A27" w14:paraId="6FB03E69" w14:textId="77777777" w:rsidTr="00743BA3">
        <w:tc>
          <w:tcPr>
            <w:tcW w:w="4508" w:type="dxa"/>
          </w:tcPr>
          <w:p w14:paraId="3147C4B3" w14:textId="77777777" w:rsidR="007B3A27" w:rsidRDefault="007B3A27" w:rsidP="00743BA3">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 xml:space="preserve">Output(s) </w:t>
            </w:r>
          </w:p>
          <w:p w14:paraId="2951E776" w14:textId="77777777" w:rsidR="007B3A27" w:rsidRDefault="007B3A27" w:rsidP="00743BA3">
            <w:pPr>
              <w:autoSpaceDE w:val="0"/>
              <w:autoSpaceDN w:val="0"/>
              <w:adjustRightInd w:val="0"/>
              <w:rPr>
                <w:rFonts w:ascii="ArialMT" w:hAnsi="ArialMT" w:cs="ArialMT"/>
                <w:color w:val="737373"/>
                <w:kern w:val="0"/>
                <w:sz w:val="20"/>
                <w:szCs w:val="20"/>
                <w:lang w:val="en-IE"/>
              </w:rPr>
            </w:pPr>
          </w:p>
          <w:p w14:paraId="46296AF1" w14:textId="77777777" w:rsidR="007B3A27" w:rsidRDefault="007B3A27" w:rsidP="00743BA3">
            <w:pPr>
              <w:autoSpaceDE w:val="0"/>
              <w:autoSpaceDN w:val="0"/>
              <w:adjustRightInd w:val="0"/>
              <w:rPr>
                <w:rFonts w:ascii="ArialMT" w:hAnsi="ArialMT" w:cs="ArialMT"/>
                <w:color w:val="737373"/>
                <w:kern w:val="0"/>
                <w:sz w:val="20"/>
                <w:szCs w:val="20"/>
                <w:lang w:val="en-IE"/>
              </w:rPr>
            </w:pPr>
          </w:p>
          <w:p w14:paraId="3DF8678F" w14:textId="77777777" w:rsidR="007B3A27" w:rsidRPr="007B3A27" w:rsidRDefault="007B3A27" w:rsidP="00743BA3">
            <w:pPr>
              <w:autoSpaceDE w:val="0"/>
              <w:autoSpaceDN w:val="0"/>
              <w:adjustRightInd w:val="0"/>
              <w:rPr>
                <w:rFonts w:ascii="ArialMT" w:hAnsi="ArialMT" w:cs="ArialMT"/>
                <w:color w:val="737373"/>
                <w:kern w:val="0"/>
                <w:sz w:val="20"/>
                <w:szCs w:val="20"/>
                <w:lang w:val="en-IE"/>
              </w:rPr>
            </w:pPr>
          </w:p>
        </w:tc>
        <w:tc>
          <w:tcPr>
            <w:tcW w:w="4508" w:type="dxa"/>
          </w:tcPr>
          <w:p w14:paraId="7DA9A1C7" w14:textId="77777777" w:rsidR="007B3A27" w:rsidRDefault="007B3A27" w:rsidP="00743BA3">
            <w:pPr>
              <w:pStyle w:val="NormalWeb"/>
            </w:pPr>
          </w:p>
        </w:tc>
      </w:tr>
      <w:tr w:rsidR="007B3A27" w14:paraId="3AB8DC9D" w14:textId="77777777" w:rsidTr="00743BA3">
        <w:tc>
          <w:tcPr>
            <w:tcW w:w="4508" w:type="dxa"/>
          </w:tcPr>
          <w:p w14:paraId="57572A5E" w14:textId="77777777" w:rsidR="007B3A27" w:rsidRDefault="007B3A27" w:rsidP="00743BA3">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Location</w:t>
            </w:r>
          </w:p>
        </w:tc>
        <w:tc>
          <w:tcPr>
            <w:tcW w:w="4508" w:type="dxa"/>
          </w:tcPr>
          <w:p w14:paraId="46014B77" w14:textId="77777777" w:rsidR="007B3A27" w:rsidRDefault="007B3A27" w:rsidP="00743BA3">
            <w:pPr>
              <w:pStyle w:val="NormalWeb"/>
            </w:pPr>
          </w:p>
        </w:tc>
      </w:tr>
      <w:tr w:rsidR="007B3A27" w14:paraId="0628F2B6" w14:textId="77777777" w:rsidTr="00743BA3">
        <w:tc>
          <w:tcPr>
            <w:tcW w:w="4508" w:type="dxa"/>
          </w:tcPr>
          <w:p w14:paraId="60F43858" w14:textId="77777777" w:rsidR="007B3A27" w:rsidRDefault="007B3A27" w:rsidP="00743BA3">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ITC (Yes/No)</w:t>
            </w:r>
          </w:p>
        </w:tc>
        <w:tc>
          <w:tcPr>
            <w:tcW w:w="4508" w:type="dxa"/>
          </w:tcPr>
          <w:p w14:paraId="1422627C" w14:textId="77777777" w:rsidR="007B3A27" w:rsidRDefault="007B3A27" w:rsidP="00743BA3">
            <w:pPr>
              <w:pStyle w:val="NormalWeb"/>
            </w:pPr>
          </w:p>
        </w:tc>
      </w:tr>
      <w:tr w:rsidR="007B3A27" w14:paraId="2AC80417" w14:textId="77777777" w:rsidTr="00743BA3">
        <w:tc>
          <w:tcPr>
            <w:tcW w:w="4508" w:type="dxa"/>
          </w:tcPr>
          <w:p w14:paraId="6BF3E46A" w14:textId="77777777" w:rsidR="007B3A27" w:rsidRDefault="007B3A27" w:rsidP="00743BA3">
            <w:pPr>
              <w:pStyle w:val="NormalWeb"/>
            </w:pPr>
            <w:r>
              <w:rPr>
                <w:rFonts w:ascii="ArialMT" w:hAnsi="ArialMT" w:cs="ArialMT"/>
                <w:color w:val="737373"/>
                <w:sz w:val="20"/>
                <w:szCs w:val="20"/>
                <w:lang w:val="en-IE"/>
              </w:rPr>
              <w:t>Start Date</w:t>
            </w:r>
          </w:p>
        </w:tc>
        <w:tc>
          <w:tcPr>
            <w:tcW w:w="4508" w:type="dxa"/>
          </w:tcPr>
          <w:p w14:paraId="068EAE79" w14:textId="77777777" w:rsidR="007B3A27" w:rsidRDefault="007B3A27" w:rsidP="00743BA3">
            <w:pPr>
              <w:pStyle w:val="NormalWeb"/>
            </w:pPr>
          </w:p>
        </w:tc>
      </w:tr>
      <w:tr w:rsidR="007B3A27" w14:paraId="524A78E5" w14:textId="77777777" w:rsidTr="00743BA3">
        <w:tc>
          <w:tcPr>
            <w:tcW w:w="4508" w:type="dxa"/>
          </w:tcPr>
          <w:p w14:paraId="5651BFAB" w14:textId="77777777" w:rsidR="007B3A27" w:rsidRDefault="007B3A27" w:rsidP="00743BA3">
            <w:pPr>
              <w:pStyle w:val="NormalWeb"/>
            </w:pPr>
            <w:r>
              <w:rPr>
                <w:rFonts w:ascii="ArialMT" w:hAnsi="ArialMT" w:cs="ArialMT"/>
                <w:color w:val="737373"/>
                <w:sz w:val="20"/>
                <w:szCs w:val="20"/>
                <w:lang w:val="en-IE"/>
              </w:rPr>
              <w:t>End Date</w:t>
            </w:r>
          </w:p>
        </w:tc>
        <w:tc>
          <w:tcPr>
            <w:tcW w:w="4508" w:type="dxa"/>
          </w:tcPr>
          <w:p w14:paraId="1932F0BE" w14:textId="77777777" w:rsidR="007B3A27" w:rsidRDefault="007B3A27" w:rsidP="00743BA3">
            <w:pPr>
              <w:pStyle w:val="NormalWeb"/>
            </w:pPr>
          </w:p>
        </w:tc>
      </w:tr>
      <w:tr w:rsidR="007B3A27" w14:paraId="295FC6F3" w14:textId="77777777" w:rsidTr="00743BA3">
        <w:tc>
          <w:tcPr>
            <w:tcW w:w="4508" w:type="dxa"/>
          </w:tcPr>
          <w:p w14:paraId="0E0CDB29" w14:textId="77777777" w:rsidR="007B3A27" w:rsidRDefault="007B3A27" w:rsidP="00743BA3">
            <w:pPr>
              <w:pStyle w:val="NormalWeb"/>
            </w:pPr>
            <w:r>
              <w:rPr>
                <w:rFonts w:ascii="ArialMT" w:hAnsi="ArialMT" w:cs="ArialMT"/>
                <w:color w:val="737373"/>
                <w:sz w:val="20"/>
                <w:szCs w:val="20"/>
                <w:lang w:val="en-IE"/>
              </w:rPr>
              <w:t>Duration</w:t>
            </w:r>
          </w:p>
        </w:tc>
        <w:tc>
          <w:tcPr>
            <w:tcW w:w="4508" w:type="dxa"/>
          </w:tcPr>
          <w:p w14:paraId="1E4071F0" w14:textId="77777777" w:rsidR="007B3A27" w:rsidRDefault="007B3A27" w:rsidP="00743BA3">
            <w:pPr>
              <w:pStyle w:val="NormalWeb"/>
            </w:pPr>
          </w:p>
        </w:tc>
      </w:tr>
      <w:tr w:rsidR="007B3A27" w14:paraId="66768B48" w14:textId="77777777" w:rsidTr="00743BA3">
        <w:tc>
          <w:tcPr>
            <w:tcW w:w="4508" w:type="dxa"/>
          </w:tcPr>
          <w:p w14:paraId="5A602C0C" w14:textId="77777777" w:rsidR="007B3A27" w:rsidRDefault="007B3A27" w:rsidP="00743BA3">
            <w:pPr>
              <w:pStyle w:val="NormalWeb"/>
              <w:rPr>
                <w:rFonts w:ascii="ArialMT" w:hAnsi="ArialMT" w:cs="ArialMT"/>
                <w:color w:val="737373"/>
                <w:sz w:val="20"/>
                <w:szCs w:val="20"/>
                <w:lang w:val="en-IE"/>
              </w:rPr>
            </w:pPr>
            <w:r>
              <w:rPr>
                <w:rFonts w:ascii="ArialMT" w:hAnsi="ArialMT" w:cs="ArialMT"/>
                <w:color w:val="737373"/>
                <w:sz w:val="20"/>
                <w:szCs w:val="20"/>
                <w:lang w:val="en-IE"/>
              </w:rPr>
              <w:t>Attendance Type (Virtual/Face to Face)</w:t>
            </w:r>
          </w:p>
        </w:tc>
        <w:tc>
          <w:tcPr>
            <w:tcW w:w="4508" w:type="dxa"/>
          </w:tcPr>
          <w:p w14:paraId="3686A50C" w14:textId="77777777" w:rsidR="007B3A27" w:rsidRDefault="007B3A27" w:rsidP="00743BA3">
            <w:pPr>
              <w:pStyle w:val="NormalWeb"/>
            </w:pPr>
          </w:p>
        </w:tc>
      </w:tr>
      <w:tr w:rsidR="007B3A27" w14:paraId="73413781" w14:textId="77777777" w:rsidTr="00743BA3">
        <w:tc>
          <w:tcPr>
            <w:tcW w:w="4508" w:type="dxa"/>
          </w:tcPr>
          <w:p w14:paraId="6CCA45C2" w14:textId="5A9DC0C9" w:rsidR="007B3A27" w:rsidRPr="007B3A27" w:rsidRDefault="007B3A27" w:rsidP="00743BA3">
            <w:pPr>
              <w:autoSpaceDE w:val="0"/>
              <w:autoSpaceDN w:val="0"/>
              <w:adjustRightInd w:val="0"/>
              <w:rPr>
                <w:rFonts w:ascii="ArialMT" w:hAnsi="ArialMT" w:cs="ArialMT"/>
                <w:i/>
                <w:iCs/>
                <w:color w:val="737373"/>
                <w:kern w:val="0"/>
                <w:sz w:val="20"/>
                <w:szCs w:val="20"/>
                <w:lang w:val="en-IE"/>
              </w:rPr>
            </w:pPr>
            <w:r>
              <w:rPr>
                <w:rFonts w:ascii="ArialMT" w:hAnsi="ArialMT" w:cs="ArialMT"/>
                <w:color w:val="737373"/>
                <w:kern w:val="0"/>
                <w:sz w:val="20"/>
                <w:szCs w:val="20"/>
                <w:lang w:val="en-IE"/>
              </w:rPr>
              <w:t xml:space="preserve">Total number of expected participants (indicate number of trainers and number of trainees - </w:t>
            </w:r>
            <w:r>
              <w:rPr>
                <w:rFonts w:ascii="ArialMT" w:hAnsi="ArialMT" w:cs="ArialMT"/>
                <w:i/>
                <w:iCs/>
                <w:color w:val="737373"/>
                <w:kern w:val="0"/>
                <w:sz w:val="20"/>
                <w:szCs w:val="20"/>
                <w:lang w:val="en-IE"/>
              </w:rPr>
              <w:t>example 3 trainers and 20 trainees</w:t>
            </w:r>
            <w:r w:rsidRPr="007B3A27">
              <w:rPr>
                <w:rFonts w:ascii="ArialMT" w:hAnsi="ArialMT" w:cs="ArialMT"/>
                <w:color w:val="737373"/>
                <w:kern w:val="0"/>
                <w:sz w:val="20"/>
                <w:szCs w:val="20"/>
                <w:lang w:val="en-IE"/>
              </w:rPr>
              <w:t>)</w:t>
            </w:r>
          </w:p>
        </w:tc>
        <w:tc>
          <w:tcPr>
            <w:tcW w:w="4508" w:type="dxa"/>
          </w:tcPr>
          <w:p w14:paraId="26E3264E" w14:textId="77777777" w:rsidR="007B3A27" w:rsidRDefault="007B3A27" w:rsidP="00743BA3">
            <w:pPr>
              <w:pStyle w:val="NormalWeb"/>
            </w:pPr>
          </w:p>
        </w:tc>
      </w:tr>
      <w:tr w:rsidR="007B3A27" w14:paraId="4E7B43D0" w14:textId="77777777" w:rsidTr="00743BA3">
        <w:tc>
          <w:tcPr>
            <w:tcW w:w="4508" w:type="dxa"/>
          </w:tcPr>
          <w:p w14:paraId="27FB4068" w14:textId="77777777" w:rsidR="007B3A27" w:rsidRDefault="007B3A27" w:rsidP="00743BA3">
            <w:pPr>
              <w:autoSpaceDE w:val="0"/>
              <w:autoSpaceDN w:val="0"/>
              <w:adjustRightInd w:val="0"/>
              <w:rPr>
                <w:rFonts w:ascii="ArialMT" w:hAnsi="ArialMT" w:cs="ArialMT"/>
                <w:color w:val="737373"/>
                <w:sz w:val="20"/>
                <w:szCs w:val="20"/>
                <w:lang w:val="en-IE"/>
              </w:rPr>
            </w:pPr>
            <w:r>
              <w:rPr>
                <w:rFonts w:ascii="ArialMT" w:hAnsi="ArialMT" w:cs="ArialMT"/>
                <w:color w:val="737373"/>
                <w:kern w:val="0"/>
                <w:sz w:val="20"/>
                <w:szCs w:val="20"/>
                <w:lang w:val="en-IE"/>
              </w:rPr>
              <w:t>Number of participants expected to be reimbursed from COST funds</w:t>
            </w:r>
          </w:p>
        </w:tc>
        <w:tc>
          <w:tcPr>
            <w:tcW w:w="4508" w:type="dxa"/>
          </w:tcPr>
          <w:p w14:paraId="6CE2A906" w14:textId="77777777" w:rsidR="007B3A27" w:rsidRDefault="007B3A27" w:rsidP="00743BA3">
            <w:pPr>
              <w:pStyle w:val="NormalWeb"/>
            </w:pPr>
          </w:p>
        </w:tc>
      </w:tr>
      <w:tr w:rsidR="007B3A27" w14:paraId="7AB173D0" w14:textId="77777777" w:rsidTr="00743BA3">
        <w:tc>
          <w:tcPr>
            <w:tcW w:w="4508" w:type="dxa"/>
          </w:tcPr>
          <w:p w14:paraId="69E56D7C" w14:textId="77777777" w:rsidR="007B3A27" w:rsidRDefault="007B3A27" w:rsidP="00743BA3">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Daily allowance (EUR)</w:t>
            </w:r>
          </w:p>
        </w:tc>
        <w:tc>
          <w:tcPr>
            <w:tcW w:w="4508" w:type="dxa"/>
          </w:tcPr>
          <w:p w14:paraId="21A60F9B" w14:textId="77777777" w:rsidR="007B3A27" w:rsidRPr="007B3A27" w:rsidRDefault="007B3A27" w:rsidP="00743BA3">
            <w:pPr>
              <w:pStyle w:val="NormalWeb"/>
              <w:rPr>
                <w:i/>
                <w:iCs/>
              </w:rPr>
            </w:pPr>
            <w:r w:rsidRPr="007B3A27">
              <w:rPr>
                <w:i/>
                <w:iCs/>
              </w:rPr>
              <w:t>For office use</w:t>
            </w:r>
          </w:p>
        </w:tc>
      </w:tr>
      <w:tr w:rsidR="007B3A27" w14:paraId="46A3BB07" w14:textId="77777777" w:rsidTr="00743BA3">
        <w:tc>
          <w:tcPr>
            <w:tcW w:w="4508" w:type="dxa"/>
          </w:tcPr>
          <w:p w14:paraId="04B4EFD9" w14:textId="77777777" w:rsidR="007B3A27" w:rsidRDefault="007B3A27" w:rsidP="00743BA3">
            <w:pPr>
              <w:autoSpaceDE w:val="0"/>
              <w:autoSpaceDN w:val="0"/>
              <w:adjustRightInd w:val="0"/>
              <w:rPr>
                <w:rFonts w:ascii="ArialMT" w:hAnsi="ArialMT" w:cs="ArialMT"/>
                <w:color w:val="737373"/>
                <w:sz w:val="20"/>
                <w:szCs w:val="20"/>
                <w:lang w:val="en-IE"/>
              </w:rPr>
            </w:pPr>
            <w:r>
              <w:rPr>
                <w:rFonts w:ascii="ArialMT" w:hAnsi="ArialMT" w:cs="ArialMT"/>
                <w:color w:val="737373"/>
                <w:kern w:val="0"/>
                <w:sz w:val="20"/>
                <w:szCs w:val="20"/>
                <w:lang w:val="en-IE"/>
              </w:rPr>
              <w:t>Average number of daily allowances per participant</w:t>
            </w:r>
          </w:p>
        </w:tc>
        <w:tc>
          <w:tcPr>
            <w:tcW w:w="4508" w:type="dxa"/>
          </w:tcPr>
          <w:p w14:paraId="2C61FFEC" w14:textId="77777777" w:rsidR="007B3A27" w:rsidRDefault="007B3A27" w:rsidP="00743BA3">
            <w:pPr>
              <w:pStyle w:val="NormalWeb"/>
            </w:pPr>
          </w:p>
        </w:tc>
      </w:tr>
      <w:tr w:rsidR="007B3A27" w14:paraId="58CC731B" w14:textId="77777777" w:rsidTr="00743BA3">
        <w:tc>
          <w:tcPr>
            <w:tcW w:w="4508" w:type="dxa"/>
          </w:tcPr>
          <w:p w14:paraId="124AE186" w14:textId="77777777" w:rsidR="007B3A27" w:rsidRDefault="007B3A27" w:rsidP="00743BA3">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Average Long-Distance Costs (EUR)</w:t>
            </w:r>
          </w:p>
        </w:tc>
        <w:tc>
          <w:tcPr>
            <w:tcW w:w="4508" w:type="dxa"/>
          </w:tcPr>
          <w:p w14:paraId="5DBA8D52" w14:textId="77777777" w:rsidR="007B3A27" w:rsidRDefault="007B3A27" w:rsidP="00743BA3">
            <w:pPr>
              <w:pStyle w:val="NormalWeb"/>
            </w:pPr>
          </w:p>
        </w:tc>
      </w:tr>
      <w:tr w:rsidR="007B3A27" w14:paraId="7CA9CF92" w14:textId="77777777" w:rsidTr="00743BA3">
        <w:tc>
          <w:tcPr>
            <w:tcW w:w="4508" w:type="dxa"/>
          </w:tcPr>
          <w:p w14:paraId="3668B75D" w14:textId="77777777" w:rsidR="007B3A27" w:rsidRDefault="007B3A27" w:rsidP="00743BA3">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Average reimbursement (per participant) (EUR)</w:t>
            </w:r>
          </w:p>
        </w:tc>
        <w:tc>
          <w:tcPr>
            <w:tcW w:w="4508" w:type="dxa"/>
          </w:tcPr>
          <w:p w14:paraId="6A4F3B7B" w14:textId="77777777" w:rsidR="007B3A27" w:rsidRDefault="007B3A27" w:rsidP="00743BA3">
            <w:pPr>
              <w:pStyle w:val="NormalWeb"/>
            </w:pPr>
            <w:r w:rsidRPr="007B3A27">
              <w:rPr>
                <w:i/>
                <w:iCs/>
              </w:rPr>
              <w:t>For office use</w:t>
            </w:r>
          </w:p>
        </w:tc>
      </w:tr>
      <w:tr w:rsidR="007B3A27" w14:paraId="316E8470" w14:textId="77777777" w:rsidTr="00743BA3">
        <w:tc>
          <w:tcPr>
            <w:tcW w:w="4508" w:type="dxa"/>
          </w:tcPr>
          <w:p w14:paraId="198D17D7" w14:textId="77777777" w:rsidR="007B3A27" w:rsidRDefault="007B3A27" w:rsidP="00743BA3">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Total Travel, Accommodation and</w:t>
            </w:r>
          </w:p>
          <w:p w14:paraId="54D85A10" w14:textId="77777777" w:rsidR="007B3A27" w:rsidRDefault="007B3A27" w:rsidP="00743BA3">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Subsistence Costs (EUR)</w:t>
            </w:r>
          </w:p>
        </w:tc>
        <w:tc>
          <w:tcPr>
            <w:tcW w:w="4508" w:type="dxa"/>
          </w:tcPr>
          <w:p w14:paraId="0B03F22E" w14:textId="77777777" w:rsidR="007B3A27" w:rsidRDefault="007B3A27" w:rsidP="00743BA3">
            <w:pPr>
              <w:pStyle w:val="NormalWeb"/>
            </w:pPr>
            <w:r w:rsidRPr="007B3A27">
              <w:rPr>
                <w:i/>
                <w:iCs/>
              </w:rPr>
              <w:t>For office use</w:t>
            </w:r>
          </w:p>
        </w:tc>
      </w:tr>
      <w:tr w:rsidR="007B3A27" w14:paraId="138CACB3" w14:textId="77777777" w:rsidTr="00743BA3">
        <w:tc>
          <w:tcPr>
            <w:tcW w:w="4508" w:type="dxa"/>
          </w:tcPr>
          <w:p w14:paraId="77DB793A" w14:textId="77777777" w:rsidR="007B3A27" w:rsidRDefault="007B3A27" w:rsidP="00743BA3">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Total unique participants to be accounted for LOS grant</w:t>
            </w:r>
          </w:p>
        </w:tc>
        <w:tc>
          <w:tcPr>
            <w:tcW w:w="4508" w:type="dxa"/>
          </w:tcPr>
          <w:p w14:paraId="39C69D48" w14:textId="77777777" w:rsidR="007B3A27" w:rsidRDefault="007B3A27" w:rsidP="00743BA3">
            <w:pPr>
              <w:pStyle w:val="NormalWeb"/>
            </w:pPr>
          </w:p>
        </w:tc>
      </w:tr>
      <w:tr w:rsidR="007B3A27" w14:paraId="1C0F93C6" w14:textId="77777777" w:rsidTr="00743BA3">
        <w:tc>
          <w:tcPr>
            <w:tcW w:w="4508" w:type="dxa"/>
          </w:tcPr>
          <w:p w14:paraId="16CA04D4" w14:textId="77777777" w:rsidR="007B3A27" w:rsidRDefault="007B3A27" w:rsidP="00743BA3">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Local Organiser Support (EUR)</w:t>
            </w:r>
          </w:p>
        </w:tc>
        <w:tc>
          <w:tcPr>
            <w:tcW w:w="4508" w:type="dxa"/>
          </w:tcPr>
          <w:p w14:paraId="5F27FC86" w14:textId="77777777" w:rsidR="007B3A27" w:rsidRDefault="007B3A27" w:rsidP="00743BA3">
            <w:pPr>
              <w:pStyle w:val="NormalWeb"/>
            </w:pPr>
          </w:p>
        </w:tc>
      </w:tr>
      <w:tr w:rsidR="007B3A27" w14:paraId="09471C89" w14:textId="77777777" w:rsidTr="00743BA3">
        <w:tc>
          <w:tcPr>
            <w:tcW w:w="4508" w:type="dxa"/>
          </w:tcPr>
          <w:p w14:paraId="1CA4C668" w14:textId="77777777" w:rsidR="007B3A27" w:rsidRDefault="007B3A27" w:rsidP="00743BA3">
            <w:pPr>
              <w:autoSpaceDE w:val="0"/>
              <w:autoSpaceDN w:val="0"/>
              <w:adjustRightInd w:val="0"/>
              <w:rPr>
                <w:rFonts w:ascii="ArialMT" w:hAnsi="ArialMT" w:cs="ArialMT"/>
                <w:color w:val="737373"/>
                <w:kern w:val="0"/>
                <w:sz w:val="20"/>
                <w:szCs w:val="20"/>
                <w:lang w:val="en-IE"/>
              </w:rPr>
            </w:pPr>
            <w:r>
              <w:rPr>
                <w:rFonts w:ascii="ArialMT" w:hAnsi="ArialMT" w:cs="ArialMT"/>
                <w:color w:val="737373"/>
                <w:kern w:val="0"/>
                <w:sz w:val="20"/>
                <w:szCs w:val="20"/>
                <w:lang w:val="en-IE"/>
              </w:rPr>
              <w:t>Total Cost</w:t>
            </w:r>
          </w:p>
        </w:tc>
        <w:tc>
          <w:tcPr>
            <w:tcW w:w="4508" w:type="dxa"/>
          </w:tcPr>
          <w:p w14:paraId="785C5573" w14:textId="77777777" w:rsidR="007B3A27" w:rsidRPr="007B3A27" w:rsidRDefault="007B3A27" w:rsidP="00743BA3">
            <w:pPr>
              <w:pStyle w:val="NormalWeb"/>
              <w:rPr>
                <w:i/>
                <w:iCs/>
              </w:rPr>
            </w:pPr>
            <w:r>
              <w:rPr>
                <w:i/>
                <w:iCs/>
              </w:rPr>
              <w:t>For office use</w:t>
            </w:r>
          </w:p>
        </w:tc>
      </w:tr>
    </w:tbl>
    <w:p w14:paraId="6F24943D" w14:textId="77777777" w:rsidR="007B3A27" w:rsidRDefault="007B3A27" w:rsidP="006E65B7">
      <w:pPr>
        <w:pStyle w:val="NormalWeb"/>
      </w:pPr>
    </w:p>
    <w:p w14:paraId="36BFC6E6" w14:textId="77777777" w:rsidR="007B3A27" w:rsidRDefault="007B3A27" w:rsidP="006E65B7">
      <w:pPr>
        <w:pStyle w:val="NormalWeb"/>
      </w:pPr>
    </w:p>
    <w:tbl>
      <w:tblPr>
        <w:tblStyle w:val="TableGrid"/>
        <w:tblW w:w="0" w:type="auto"/>
        <w:tblLook w:val="04A0" w:firstRow="1" w:lastRow="0" w:firstColumn="1" w:lastColumn="0" w:noHBand="0" w:noVBand="1"/>
      </w:tblPr>
      <w:tblGrid>
        <w:gridCol w:w="4508"/>
        <w:gridCol w:w="4508"/>
      </w:tblGrid>
      <w:tr w:rsidR="007B3A27" w14:paraId="6FBFEE47" w14:textId="77777777" w:rsidTr="007B3A27">
        <w:tc>
          <w:tcPr>
            <w:tcW w:w="4508" w:type="dxa"/>
          </w:tcPr>
          <w:p w14:paraId="12183939" w14:textId="4B655557" w:rsidR="0028169C" w:rsidRDefault="007B3A27" w:rsidP="007B3A27">
            <w:pPr>
              <w:autoSpaceDE w:val="0"/>
              <w:autoSpaceDN w:val="0"/>
              <w:adjustRightInd w:val="0"/>
              <w:rPr>
                <w:rFonts w:ascii="ArialMT" w:hAnsi="ArialMT" w:cs="ArialMT"/>
                <w:b/>
                <w:bCs/>
                <w:color w:val="737373"/>
                <w:kern w:val="0"/>
                <w:sz w:val="20"/>
                <w:szCs w:val="20"/>
                <w:lang w:val="en-IE"/>
              </w:rPr>
            </w:pPr>
            <w:r w:rsidRPr="007B3A27">
              <w:rPr>
                <w:rFonts w:ascii="ArialMT" w:hAnsi="ArialMT" w:cs="ArialMT"/>
                <w:b/>
                <w:bCs/>
                <w:color w:val="737373"/>
                <w:kern w:val="0"/>
                <w:sz w:val="20"/>
                <w:szCs w:val="20"/>
                <w:lang w:val="en-IE"/>
              </w:rPr>
              <w:lastRenderedPageBreak/>
              <w:t>Dissemination and Communication Product</w:t>
            </w:r>
            <w:r w:rsidR="00F374EF">
              <w:rPr>
                <w:rFonts w:ascii="ArialMT" w:hAnsi="ArialMT" w:cs="ArialMT"/>
                <w:b/>
                <w:bCs/>
                <w:color w:val="737373"/>
                <w:kern w:val="0"/>
                <w:sz w:val="20"/>
                <w:szCs w:val="20"/>
                <w:lang w:val="en-IE"/>
              </w:rPr>
              <w:t>s</w:t>
            </w:r>
          </w:p>
          <w:p w14:paraId="522863E4" w14:textId="728D0362" w:rsidR="0028169C" w:rsidRDefault="0028169C" w:rsidP="0028169C">
            <w:pPr>
              <w:autoSpaceDE w:val="0"/>
              <w:autoSpaceDN w:val="0"/>
              <w:adjustRightInd w:val="0"/>
              <w:jc w:val="both"/>
              <w:rPr>
                <w:rFonts w:ascii="Times New Roman" w:hAnsi="Times New Roman" w:cs="Times New Roman"/>
                <w:i/>
                <w:iCs/>
                <w:sz w:val="20"/>
                <w:szCs w:val="20"/>
              </w:rPr>
            </w:pPr>
            <w:r w:rsidRPr="0028169C">
              <w:rPr>
                <w:rFonts w:ascii="Times New Roman" w:hAnsi="Times New Roman" w:cs="Times New Roman"/>
                <w:i/>
                <w:iCs/>
                <w:sz w:val="20"/>
                <w:szCs w:val="20"/>
              </w:rPr>
              <w:t>Examples include scientific publications, books, white papers, policy briefs, flyers, presentations, videos, podcast, webinars</w:t>
            </w:r>
            <w:r>
              <w:rPr>
                <w:rFonts w:ascii="Times New Roman" w:hAnsi="Times New Roman" w:cs="Times New Roman"/>
                <w:i/>
                <w:iCs/>
                <w:sz w:val="20"/>
                <w:szCs w:val="20"/>
              </w:rPr>
              <w:t xml:space="preserve">. </w:t>
            </w:r>
          </w:p>
          <w:p w14:paraId="36D613AA" w14:textId="26C7B379" w:rsidR="007B3A27" w:rsidRPr="0028169C" w:rsidRDefault="0028169C" w:rsidP="0028169C">
            <w:pPr>
              <w:autoSpaceDE w:val="0"/>
              <w:autoSpaceDN w:val="0"/>
              <w:adjustRightInd w:val="0"/>
              <w:jc w:val="both"/>
              <w:rPr>
                <w:rFonts w:ascii="Times New Roman" w:hAnsi="Times New Roman" w:cs="Times New Roman"/>
                <w:i/>
                <w:iCs/>
                <w:sz w:val="20"/>
                <w:szCs w:val="20"/>
                <w:lang w:val="en-IE"/>
              </w:rPr>
            </w:pPr>
            <w:r w:rsidRPr="0028169C">
              <w:rPr>
                <w:rFonts w:ascii="Times New Roman" w:hAnsi="Times New Roman" w:cs="Times New Roman"/>
                <w:i/>
                <w:iCs/>
                <w:sz w:val="20"/>
                <w:szCs w:val="20"/>
                <w:lang w:val="en-IE"/>
              </w:rPr>
              <w:t>Funding for Open Access fees, proof reading, editing, translation and layout costs can be sought, so long as certain criteria are fulfilled.</w:t>
            </w:r>
            <w:r>
              <w:rPr>
                <w:rStyle w:val="FootnoteReference"/>
                <w:rFonts w:ascii="Times New Roman" w:hAnsi="Times New Roman" w:cs="Times New Roman"/>
                <w:i/>
                <w:iCs/>
                <w:sz w:val="20"/>
                <w:szCs w:val="20"/>
                <w:lang w:val="en-IE"/>
              </w:rPr>
              <w:footnoteReference w:id="1"/>
            </w:r>
          </w:p>
        </w:tc>
        <w:tc>
          <w:tcPr>
            <w:tcW w:w="4508" w:type="dxa"/>
          </w:tcPr>
          <w:p w14:paraId="4DBD3C52" w14:textId="796D1919" w:rsidR="007B3A27" w:rsidRPr="0028169C" w:rsidRDefault="007B3A27" w:rsidP="006E65B7">
            <w:pPr>
              <w:pStyle w:val="NormalWeb"/>
              <w:rPr>
                <w:i/>
                <w:iCs/>
              </w:rPr>
            </w:pPr>
          </w:p>
        </w:tc>
      </w:tr>
      <w:tr w:rsidR="007B3A27" w14:paraId="4A780E18" w14:textId="77777777" w:rsidTr="007B3A27">
        <w:tc>
          <w:tcPr>
            <w:tcW w:w="4508" w:type="dxa"/>
          </w:tcPr>
          <w:p w14:paraId="3125077D" w14:textId="6DDDE3C1" w:rsidR="007B3A27" w:rsidRDefault="007B3A27" w:rsidP="006E65B7">
            <w:pPr>
              <w:pStyle w:val="NormalWeb"/>
            </w:pPr>
            <w:r>
              <w:rPr>
                <w:rFonts w:ascii="ArialMT" w:hAnsi="ArialMT" w:cs="ArialMT"/>
                <w:color w:val="737373"/>
                <w:sz w:val="20"/>
                <w:szCs w:val="20"/>
                <w:lang w:val="en-IE"/>
              </w:rPr>
              <w:t>Title:</w:t>
            </w:r>
          </w:p>
        </w:tc>
        <w:tc>
          <w:tcPr>
            <w:tcW w:w="4508" w:type="dxa"/>
          </w:tcPr>
          <w:p w14:paraId="749D1D40" w14:textId="77777777" w:rsidR="007B3A27" w:rsidRDefault="007B3A27" w:rsidP="006E65B7">
            <w:pPr>
              <w:pStyle w:val="NormalWeb"/>
            </w:pPr>
          </w:p>
        </w:tc>
      </w:tr>
      <w:tr w:rsidR="007B3A27" w14:paraId="0800901F" w14:textId="77777777" w:rsidTr="007B3A27">
        <w:tc>
          <w:tcPr>
            <w:tcW w:w="4508" w:type="dxa"/>
          </w:tcPr>
          <w:p w14:paraId="67E5037E" w14:textId="77777777" w:rsidR="007B3A27" w:rsidRDefault="007B3A27" w:rsidP="006E65B7">
            <w:pPr>
              <w:pStyle w:val="NormalWeb"/>
              <w:rPr>
                <w:rFonts w:ascii="ArialMT" w:hAnsi="ArialMT" w:cs="ArialMT"/>
                <w:color w:val="737373"/>
                <w:sz w:val="20"/>
                <w:szCs w:val="20"/>
                <w:lang w:val="en-IE"/>
              </w:rPr>
            </w:pPr>
            <w:r>
              <w:rPr>
                <w:rFonts w:ascii="ArialMT" w:hAnsi="ArialMT" w:cs="ArialMT"/>
                <w:color w:val="737373"/>
                <w:sz w:val="20"/>
                <w:szCs w:val="20"/>
                <w:lang w:val="en-IE"/>
              </w:rPr>
              <w:t>Description:</w:t>
            </w:r>
          </w:p>
          <w:p w14:paraId="0F8A762A" w14:textId="77777777" w:rsidR="007B3A27" w:rsidRDefault="007B3A27" w:rsidP="006E65B7">
            <w:pPr>
              <w:pStyle w:val="NormalWeb"/>
            </w:pPr>
          </w:p>
          <w:p w14:paraId="7AC193A5" w14:textId="369518D7" w:rsidR="007B3A27" w:rsidRDefault="007B3A27" w:rsidP="006E65B7">
            <w:pPr>
              <w:pStyle w:val="NormalWeb"/>
            </w:pPr>
          </w:p>
        </w:tc>
        <w:tc>
          <w:tcPr>
            <w:tcW w:w="4508" w:type="dxa"/>
          </w:tcPr>
          <w:p w14:paraId="6F4A147A" w14:textId="77777777" w:rsidR="007B3A27" w:rsidRDefault="007B3A27" w:rsidP="006E65B7">
            <w:pPr>
              <w:pStyle w:val="NormalWeb"/>
            </w:pPr>
          </w:p>
        </w:tc>
      </w:tr>
      <w:tr w:rsidR="007B3A27" w14:paraId="13001DD8" w14:textId="77777777" w:rsidTr="007B3A27">
        <w:tc>
          <w:tcPr>
            <w:tcW w:w="4508" w:type="dxa"/>
          </w:tcPr>
          <w:p w14:paraId="18A5BC39" w14:textId="172CF912" w:rsidR="007B3A27" w:rsidRDefault="007B3A27" w:rsidP="007B3A27">
            <w:pPr>
              <w:autoSpaceDE w:val="0"/>
              <w:autoSpaceDN w:val="0"/>
              <w:adjustRightInd w:val="0"/>
            </w:pPr>
            <w:r>
              <w:rPr>
                <w:rFonts w:ascii="ArialMT" w:hAnsi="ArialMT" w:cs="ArialMT"/>
                <w:color w:val="737373"/>
                <w:kern w:val="0"/>
                <w:sz w:val="20"/>
                <w:szCs w:val="20"/>
                <w:lang w:val="en-IE"/>
              </w:rPr>
              <w:t>Total (EUR): (without VAT)</w:t>
            </w:r>
          </w:p>
        </w:tc>
        <w:tc>
          <w:tcPr>
            <w:tcW w:w="4508" w:type="dxa"/>
          </w:tcPr>
          <w:p w14:paraId="29328AB6" w14:textId="77777777" w:rsidR="007B3A27" w:rsidRDefault="007B3A27" w:rsidP="006E65B7">
            <w:pPr>
              <w:pStyle w:val="NormalWeb"/>
            </w:pPr>
          </w:p>
        </w:tc>
      </w:tr>
    </w:tbl>
    <w:p w14:paraId="4997BF74" w14:textId="77777777" w:rsidR="007B3A27" w:rsidRPr="00B20DEB" w:rsidRDefault="007B3A27" w:rsidP="006E65B7">
      <w:pPr>
        <w:pStyle w:val="NormalWeb"/>
      </w:pPr>
    </w:p>
    <w:sectPr w:rsidR="007B3A27" w:rsidRPr="00B20DE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5B0CE" w14:textId="77777777" w:rsidR="008C0695" w:rsidRDefault="008C0695" w:rsidP="00F739C9">
      <w:pPr>
        <w:spacing w:after="0" w:line="240" w:lineRule="auto"/>
      </w:pPr>
      <w:r>
        <w:separator/>
      </w:r>
    </w:p>
  </w:endnote>
  <w:endnote w:type="continuationSeparator" w:id="0">
    <w:p w14:paraId="1A49D532" w14:textId="77777777" w:rsidR="008C0695" w:rsidRDefault="008C0695" w:rsidP="00F7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E7E95" w14:textId="77777777" w:rsidR="008C0695" w:rsidRDefault="008C0695" w:rsidP="00F739C9">
      <w:pPr>
        <w:spacing w:after="0" w:line="240" w:lineRule="auto"/>
      </w:pPr>
      <w:r>
        <w:separator/>
      </w:r>
    </w:p>
  </w:footnote>
  <w:footnote w:type="continuationSeparator" w:id="0">
    <w:p w14:paraId="42992083" w14:textId="77777777" w:rsidR="008C0695" w:rsidRDefault="008C0695" w:rsidP="00F739C9">
      <w:pPr>
        <w:spacing w:after="0" w:line="240" w:lineRule="auto"/>
      </w:pPr>
      <w:r>
        <w:continuationSeparator/>
      </w:r>
    </w:p>
  </w:footnote>
  <w:footnote w:id="1">
    <w:p w14:paraId="3D9FE1CD" w14:textId="77777777" w:rsidR="0028169C" w:rsidRPr="00F374EF" w:rsidRDefault="0028169C" w:rsidP="0028169C">
      <w:pPr>
        <w:pStyle w:val="FootnoteText"/>
        <w:jc w:val="both"/>
        <w:rPr>
          <w:rFonts w:ascii="Times New Roman" w:hAnsi="Times New Roman" w:cs="Times New Roman"/>
          <w:lang w:val="en-IE"/>
        </w:rPr>
      </w:pPr>
      <w:r w:rsidRPr="00F374EF">
        <w:rPr>
          <w:rStyle w:val="FootnoteReference"/>
          <w:rFonts w:ascii="Times New Roman" w:hAnsi="Times New Roman" w:cs="Times New Roman"/>
        </w:rPr>
        <w:footnoteRef/>
      </w:r>
      <w:r w:rsidRPr="00F374EF">
        <w:rPr>
          <w:rFonts w:ascii="Times New Roman" w:hAnsi="Times New Roman" w:cs="Times New Roman"/>
        </w:rPr>
        <w:t xml:space="preserve"> </w:t>
      </w:r>
      <w:r w:rsidRPr="00F374EF">
        <w:rPr>
          <w:rFonts w:ascii="Times New Roman" w:hAnsi="Times New Roman" w:cs="Times New Roman"/>
          <w:lang w:val="en-IE"/>
        </w:rPr>
        <w:t>The publication must be the result of the work of the Action, and be authored by</w:t>
      </w:r>
    </w:p>
    <w:p w14:paraId="39A643A0" w14:textId="77777777" w:rsidR="0028169C" w:rsidRPr="00F374EF" w:rsidRDefault="0028169C" w:rsidP="0028169C">
      <w:pPr>
        <w:pStyle w:val="FootnoteText"/>
        <w:numPr>
          <w:ilvl w:val="0"/>
          <w:numId w:val="11"/>
        </w:numPr>
        <w:ind w:left="426"/>
        <w:jc w:val="both"/>
        <w:rPr>
          <w:rFonts w:ascii="Times New Roman" w:hAnsi="Times New Roman" w:cs="Times New Roman"/>
          <w:lang w:val="en-IE"/>
        </w:rPr>
      </w:pPr>
      <w:r w:rsidRPr="00F374EF">
        <w:rPr>
          <w:rFonts w:ascii="Times New Roman" w:hAnsi="Times New Roman" w:cs="Times New Roman"/>
          <w:lang w:val="en-IE"/>
        </w:rPr>
        <w:t>Action participants from at least 3 different COST Members; or</w:t>
      </w:r>
    </w:p>
    <w:p w14:paraId="079A7DE7" w14:textId="77777777" w:rsidR="0028169C" w:rsidRPr="00F374EF" w:rsidRDefault="0028169C" w:rsidP="0028169C">
      <w:pPr>
        <w:pStyle w:val="FootnoteText"/>
        <w:numPr>
          <w:ilvl w:val="0"/>
          <w:numId w:val="11"/>
        </w:numPr>
        <w:ind w:left="426"/>
        <w:jc w:val="both"/>
        <w:rPr>
          <w:rFonts w:ascii="Times New Roman" w:hAnsi="Times New Roman" w:cs="Times New Roman"/>
          <w:lang w:val="en-IE"/>
        </w:rPr>
      </w:pPr>
      <w:r w:rsidRPr="00F374EF">
        <w:rPr>
          <w:rFonts w:ascii="Times New Roman" w:hAnsi="Times New Roman" w:cs="Times New Roman"/>
          <w:lang w:val="en-IE"/>
        </w:rPr>
        <w:t xml:space="preserve">Action participants from at least 2 different COST Members and 1 NNC; or, </w:t>
      </w:r>
    </w:p>
    <w:p w14:paraId="6BBE5BBE" w14:textId="1266AA28" w:rsidR="0028169C" w:rsidRPr="00F374EF" w:rsidRDefault="0028169C" w:rsidP="0028169C">
      <w:pPr>
        <w:pStyle w:val="FootnoteText"/>
        <w:numPr>
          <w:ilvl w:val="0"/>
          <w:numId w:val="11"/>
        </w:numPr>
        <w:ind w:left="426"/>
        <w:jc w:val="both"/>
        <w:rPr>
          <w:rFonts w:ascii="Times New Roman" w:hAnsi="Times New Roman" w:cs="Times New Roman"/>
          <w:lang w:val="en-IE"/>
        </w:rPr>
      </w:pPr>
      <w:r w:rsidRPr="00F374EF">
        <w:rPr>
          <w:rFonts w:ascii="Times New Roman" w:hAnsi="Times New Roman" w:cs="Times New Roman"/>
          <w:lang w:val="en-IE"/>
        </w:rPr>
        <w:t>Action participants from at least 2 different COST Members if resulting from an STSM funded by the Action.</w:t>
      </w:r>
    </w:p>
    <w:p w14:paraId="13C7C867" w14:textId="1494E20E" w:rsidR="0028169C" w:rsidRPr="0028169C" w:rsidRDefault="0028169C" w:rsidP="0028169C">
      <w:pPr>
        <w:pStyle w:val="FootnoteText"/>
        <w:jc w:val="both"/>
        <w:rPr>
          <w:lang w:val="en-IE"/>
        </w:rPr>
      </w:pPr>
      <w:r w:rsidRPr="00F374EF">
        <w:rPr>
          <w:rFonts w:ascii="Times New Roman" w:hAnsi="Times New Roman" w:cs="Times New Roman"/>
          <w:lang w:val="en-IE"/>
        </w:rPr>
        <w:t xml:space="preserve">The publication must be peer-reviewed and with a renowned publisher. It must be a high impact publication. Impact of the publication is to be assessed along the SCImago Journal Rank (SJR)3 of the considered academic journal. Any journal that is situated in the first three quartiles Q1-Q3 is considered of sufficient impact, while journals in the last quartile Q4 or journals not contained in the SCOPUS database need an assessment by the responsible Science Officer; the SJR and quartile (Q1, Q2, Q3 or Q4) for each journal contained in SCOPUS can be obtained from the SCImago webpage (accessible at </w:t>
      </w:r>
      <w:hyperlink r:id="rId1" w:history="1">
        <w:r w:rsidRPr="00F374EF">
          <w:rPr>
            <w:rStyle w:val="Hyperlink"/>
            <w:rFonts w:ascii="Times New Roman" w:hAnsi="Times New Roman" w:cs="Times New Roman"/>
            <w:lang w:val="en-IE"/>
          </w:rPr>
          <w:t>https://www.scimagojr.com/journalrank.php</w:t>
        </w:r>
      </w:hyperlink>
      <w:r w:rsidRPr="00F374EF">
        <w:rPr>
          <w:rFonts w:ascii="Times New Roman" w:hAnsi="Times New Roman" w:cs="Times New Roman"/>
          <w:lang w:val="en-IE"/>
        </w:rPr>
        <w:t xml:space="preserve">). The publication must appropriately acknowledge COST funding (see further </w:t>
      </w:r>
      <w:hyperlink r:id="rId2" w:history="1">
        <w:r w:rsidRPr="00F374EF">
          <w:rPr>
            <w:rStyle w:val="Hyperlink"/>
            <w:rFonts w:ascii="Times New Roman" w:hAnsi="Times New Roman" w:cs="Times New Roman"/>
            <w:lang w:val="en-IE"/>
          </w:rPr>
          <w:t>Annotated Rules for COST Actions</w:t>
        </w:r>
      </w:hyperlink>
      <w:r w:rsidRPr="00F374EF">
        <w:rPr>
          <w:rFonts w:ascii="Times New Roman" w:hAnsi="Times New Roman" w:cs="Times New Roman"/>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9220F" w14:textId="607CE25F" w:rsidR="00384AF1" w:rsidRDefault="00384AF1">
    <w:pPr>
      <w:pStyle w:val="Header"/>
    </w:pPr>
    <w:r>
      <w:rPr>
        <w:noProof/>
        <w:lang w:val="en-US"/>
      </w:rPr>
      <w:drawing>
        <wp:inline distT="0" distB="0" distL="0" distR="0" wp14:anchorId="1A194A15" wp14:editId="3B52B0C1">
          <wp:extent cx="1228725" cy="1228725"/>
          <wp:effectExtent l="0" t="0" r="9525" b="9525"/>
          <wp:docPr id="580457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r w:rsidR="00BB138C">
      <w:tab/>
    </w:r>
    <w:r w:rsidR="00BB138C">
      <w:rPr>
        <w:noProof/>
        <w:lang w:val="en-US"/>
      </w:rPr>
      <w:drawing>
        <wp:inline distT="0" distB="0" distL="0" distR="0" wp14:anchorId="1CBE9A93" wp14:editId="31DC099F">
          <wp:extent cx="2076450" cy="856759"/>
          <wp:effectExtent l="0" t="0" r="0" b="635"/>
          <wp:docPr id="1" name="Picture 1" descr="COST | European Cooperation in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T | European Cooperation in Science and Technolog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0774" cy="858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996"/>
    <w:multiLevelType w:val="hybridMultilevel"/>
    <w:tmpl w:val="0824C99C"/>
    <w:lvl w:ilvl="0" w:tplc="FFFFFFFF">
      <w:start w:val="1"/>
      <w:numFmt w:val="decimal"/>
      <w:lvlText w:val="%1."/>
      <w:lvlJc w:val="left"/>
      <w:pPr>
        <w:ind w:left="720" w:hanging="360"/>
      </w:pPr>
      <w:rPr>
        <w:b/>
        <w:bCs/>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720" w:hanging="360"/>
      </w:pPr>
      <w:rPr>
        <w:rFonts w:ascii="Times New Roman" w:eastAsia="Times New Roman" w:hAnsi="Times New Roman" w:cs="Times New Roman" w:hint="default"/>
      </w:rPr>
    </w:lvl>
    <w:lvl w:ilvl="3" w:tplc="FFFFFFFF">
      <w:start w:val="1"/>
      <w:numFmt w:val="bullet"/>
      <w:lvlText w:val="o"/>
      <w:lvlJc w:val="left"/>
      <w:pPr>
        <w:ind w:left="144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457575"/>
    <w:multiLevelType w:val="hybridMultilevel"/>
    <w:tmpl w:val="1F4ADCA6"/>
    <w:lvl w:ilvl="0" w:tplc="79B8EEE4">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FE27332"/>
    <w:multiLevelType w:val="hybridMultilevel"/>
    <w:tmpl w:val="01EC0258"/>
    <w:lvl w:ilvl="0" w:tplc="62B4E8D0">
      <w:start w:val="1"/>
      <w:numFmt w:val="decimal"/>
      <w:lvlText w:val="%1."/>
      <w:lvlJc w:val="left"/>
      <w:pPr>
        <w:ind w:left="720" w:hanging="360"/>
      </w:pPr>
      <w:rPr>
        <w:b/>
        <w:bCs/>
        <w:i w:val="0"/>
        <w:i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5961A25"/>
    <w:multiLevelType w:val="hybridMultilevel"/>
    <w:tmpl w:val="6EDA019C"/>
    <w:lvl w:ilvl="0" w:tplc="C77A2278">
      <w:start w:val="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41C56C9"/>
    <w:multiLevelType w:val="hybridMultilevel"/>
    <w:tmpl w:val="5D9CABFE"/>
    <w:lvl w:ilvl="0" w:tplc="2138D052">
      <w:start w:val="1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38446D"/>
    <w:multiLevelType w:val="multilevel"/>
    <w:tmpl w:val="AF9459F6"/>
    <w:lvl w:ilvl="0">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7F453B7"/>
    <w:multiLevelType w:val="hybridMultilevel"/>
    <w:tmpl w:val="CB760674"/>
    <w:lvl w:ilvl="0" w:tplc="C77A2278">
      <w:start w:val="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CF05F9B"/>
    <w:multiLevelType w:val="hybridMultilevel"/>
    <w:tmpl w:val="F45C2E44"/>
    <w:lvl w:ilvl="0" w:tplc="928A3FDA">
      <w:start w:val="1"/>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93F19E3"/>
    <w:multiLevelType w:val="hybridMultilevel"/>
    <w:tmpl w:val="0824C99C"/>
    <w:lvl w:ilvl="0" w:tplc="E4FE9A28">
      <w:start w:val="1"/>
      <w:numFmt w:val="decimal"/>
      <w:lvlText w:val="%1."/>
      <w:lvlJc w:val="left"/>
      <w:pPr>
        <w:ind w:left="720" w:hanging="360"/>
      </w:pPr>
      <w:rPr>
        <w:b/>
        <w:bCs/>
      </w:rPr>
    </w:lvl>
    <w:lvl w:ilvl="1" w:tplc="18090003">
      <w:start w:val="1"/>
      <w:numFmt w:val="bullet"/>
      <w:lvlText w:val="o"/>
      <w:lvlJc w:val="left"/>
      <w:pPr>
        <w:ind w:left="720" w:hanging="360"/>
      </w:pPr>
      <w:rPr>
        <w:rFonts w:ascii="Courier New" w:hAnsi="Courier New" w:cs="Courier New" w:hint="default"/>
      </w:rPr>
    </w:lvl>
    <w:lvl w:ilvl="2" w:tplc="928A3FDA">
      <w:start w:val="1"/>
      <w:numFmt w:val="bullet"/>
      <w:lvlText w:val="-"/>
      <w:lvlJc w:val="left"/>
      <w:pPr>
        <w:ind w:left="720" w:hanging="360"/>
      </w:pPr>
      <w:rPr>
        <w:rFonts w:ascii="Times New Roman" w:eastAsia="Times New Roman" w:hAnsi="Times New Roman" w:cs="Times New Roman" w:hint="default"/>
      </w:rPr>
    </w:lvl>
    <w:lvl w:ilvl="3" w:tplc="18090003">
      <w:start w:val="1"/>
      <w:numFmt w:val="bullet"/>
      <w:lvlText w:val="o"/>
      <w:lvlJc w:val="left"/>
      <w:pPr>
        <w:ind w:left="1440" w:hanging="360"/>
      </w:pPr>
      <w:rPr>
        <w:rFonts w:ascii="Courier New" w:hAnsi="Courier New" w:cs="Courier New"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FCF79B7"/>
    <w:multiLevelType w:val="hybridMultilevel"/>
    <w:tmpl w:val="21D4396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FF36103"/>
    <w:multiLevelType w:val="hybridMultilevel"/>
    <w:tmpl w:val="A692AB30"/>
    <w:lvl w:ilvl="0" w:tplc="1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6"/>
  </w:num>
  <w:num w:numId="6">
    <w:abstractNumId w:val="3"/>
  </w:num>
  <w:num w:numId="7">
    <w:abstractNumId w:val="10"/>
  </w:num>
  <w:num w:numId="8">
    <w:abstractNumId w:val="9"/>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80"/>
    <w:rsid w:val="00003BD4"/>
    <w:rsid w:val="00023B97"/>
    <w:rsid w:val="00032FFA"/>
    <w:rsid w:val="000457A2"/>
    <w:rsid w:val="000555EC"/>
    <w:rsid w:val="00055662"/>
    <w:rsid w:val="00065A4C"/>
    <w:rsid w:val="00065F90"/>
    <w:rsid w:val="00071CF7"/>
    <w:rsid w:val="0007561C"/>
    <w:rsid w:val="00082438"/>
    <w:rsid w:val="000A2A4D"/>
    <w:rsid w:val="000C1250"/>
    <w:rsid w:val="000C725E"/>
    <w:rsid w:val="000E1380"/>
    <w:rsid w:val="000F2862"/>
    <w:rsid w:val="0014277D"/>
    <w:rsid w:val="0015751D"/>
    <w:rsid w:val="001651AE"/>
    <w:rsid w:val="001915E0"/>
    <w:rsid w:val="0019694A"/>
    <w:rsid w:val="001A12F5"/>
    <w:rsid w:val="001B00E9"/>
    <w:rsid w:val="001C3130"/>
    <w:rsid w:val="00214346"/>
    <w:rsid w:val="00215259"/>
    <w:rsid w:val="00231A22"/>
    <w:rsid w:val="00234428"/>
    <w:rsid w:val="00237918"/>
    <w:rsid w:val="00243440"/>
    <w:rsid w:val="0026070B"/>
    <w:rsid w:val="002713C8"/>
    <w:rsid w:val="0028169C"/>
    <w:rsid w:val="00297EEC"/>
    <w:rsid w:val="002B0835"/>
    <w:rsid w:val="002B2AEE"/>
    <w:rsid w:val="002D0C3F"/>
    <w:rsid w:val="002D182A"/>
    <w:rsid w:val="002D4DF8"/>
    <w:rsid w:val="002E337A"/>
    <w:rsid w:val="002E646E"/>
    <w:rsid w:val="002F443C"/>
    <w:rsid w:val="003055C8"/>
    <w:rsid w:val="00314390"/>
    <w:rsid w:val="00324AB7"/>
    <w:rsid w:val="00331299"/>
    <w:rsid w:val="0034470C"/>
    <w:rsid w:val="003447E3"/>
    <w:rsid w:val="003618A7"/>
    <w:rsid w:val="003704E1"/>
    <w:rsid w:val="00377E27"/>
    <w:rsid w:val="00384AF1"/>
    <w:rsid w:val="003A1500"/>
    <w:rsid w:val="003C1AB4"/>
    <w:rsid w:val="003C5F77"/>
    <w:rsid w:val="003D20EA"/>
    <w:rsid w:val="003D32AB"/>
    <w:rsid w:val="003D509C"/>
    <w:rsid w:val="003E555C"/>
    <w:rsid w:val="00403EFF"/>
    <w:rsid w:val="00427EAA"/>
    <w:rsid w:val="004476A7"/>
    <w:rsid w:val="004518DD"/>
    <w:rsid w:val="00453B4F"/>
    <w:rsid w:val="004C6C02"/>
    <w:rsid w:val="004E19B5"/>
    <w:rsid w:val="00506F1A"/>
    <w:rsid w:val="00511E52"/>
    <w:rsid w:val="00526193"/>
    <w:rsid w:val="0054011E"/>
    <w:rsid w:val="005513E3"/>
    <w:rsid w:val="00556C50"/>
    <w:rsid w:val="00573CAD"/>
    <w:rsid w:val="00575DA1"/>
    <w:rsid w:val="00591DEB"/>
    <w:rsid w:val="005A46D0"/>
    <w:rsid w:val="005B11C7"/>
    <w:rsid w:val="005B1558"/>
    <w:rsid w:val="005D311C"/>
    <w:rsid w:val="005D3AE7"/>
    <w:rsid w:val="005E2AD3"/>
    <w:rsid w:val="005E3FE2"/>
    <w:rsid w:val="00622707"/>
    <w:rsid w:val="00625BF5"/>
    <w:rsid w:val="006300B0"/>
    <w:rsid w:val="00633241"/>
    <w:rsid w:val="00636DBA"/>
    <w:rsid w:val="00644A41"/>
    <w:rsid w:val="00645688"/>
    <w:rsid w:val="006702B6"/>
    <w:rsid w:val="00681162"/>
    <w:rsid w:val="0068583B"/>
    <w:rsid w:val="006A3F7A"/>
    <w:rsid w:val="006C1283"/>
    <w:rsid w:val="006C4811"/>
    <w:rsid w:val="006D21DE"/>
    <w:rsid w:val="006E65B7"/>
    <w:rsid w:val="006F6B99"/>
    <w:rsid w:val="007048B3"/>
    <w:rsid w:val="0071179A"/>
    <w:rsid w:val="0071256C"/>
    <w:rsid w:val="00720CDB"/>
    <w:rsid w:val="0072107C"/>
    <w:rsid w:val="00766A3D"/>
    <w:rsid w:val="007743E9"/>
    <w:rsid w:val="007756A0"/>
    <w:rsid w:val="00791CB0"/>
    <w:rsid w:val="007A0883"/>
    <w:rsid w:val="007B3A27"/>
    <w:rsid w:val="007D132A"/>
    <w:rsid w:val="007E456B"/>
    <w:rsid w:val="0081402C"/>
    <w:rsid w:val="0083029B"/>
    <w:rsid w:val="008372D4"/>
    <w:rsid w:val="0083770F"/>
    <w:rsid w:val="008618D0"/>
    <w:rsid w:val="00894EE8"/>
    <w:rsid w:val="008B55A2"/>
    <w:rsid w:val="008C0695"/>
    <w:rsid w:val="008D52D1"/>
    <w:rsid w:val="00903396"/>
    <w:rsid w:val="00920877"/>
    <w:rsid w:val="00943B8E"/>
    <w:rsid w:val="00946CEB"/>
    <w:rsid w:val="009578B9"/>
    <w:rsid w:val="00961F22"/>
    <w:rsid w:val="00966042"/>
    <w:rsid w:val="009750B1"/>
    <w:rsid w:val="0098340B"/>
    <w:rsid w:val="009925FF"/>
    <w:rsid w:val="00992FBD"/>
    <w:rsid w:val="009D2A2D"/>
    <w:rsid w:val="009E14A4"/>
    <w:rsid w:val="009F687C"/>
    <w:rsid w:val="00A00E7B"/>
    <w:rsid w:val="00A14EC5"/>
    <w:rsid w:val="00A15587"/>
    <w:rsid w:val="00A43757"/>
    <w:rsid w:val="00A45BE5"/>
    <w:rsid w:val="00A54F53"/>
    <w:rsid w:val="00A60A47"/>
    <w:rsid w:val="00A84E69"/>
    <w:rsid w:val="00AB7740"/>
    <w:rsid w:val="00AC1FE3"/>
    <w:rsid w:val="00AD12D0"/>
    <w:rsid w:val="00AF46C9"/>
    <w:rsid w:val="00B01423"/>
    <w:rsid w:val="00B17844"/>
    <w:rsid w:val="00B20DEB"/>
    <w:rsid w:val="00B430D9"/>
    <w:rsid w:val="00B46280"/>
    <w:rsid w:val="00B56058"/>
    <w:rsid w:val="00B64449"/>
    <w:rsid w:val="00B7223C"/>
    <w:rsid w:val="00BA3ED4"/>
    <w:rsid w:val="00BB0B33"/>
    <w:rsid w:val="00BB138C"/>
    <w:rsid w:val="00BB50F2"/>
    <w:rsid w:val="00BF1A10"/>
    <w:rsid w:val="00BF5B97"/>
    <w:rsid w:val="00C10A14"/>
    <w:rsid w:val="00C16543"/>
    <w:rsid w:val="00C322F0"/>
    <w:rsid w:val="00C402D9"/>
    <w:rsid w:val="00C408CE"/>
    <w:rsid w:val="00C40FF1"/>
    <w:rsid w:val="00C70FB9"/>
    <w:rsid w:val="00C80A42"/>
    <w:rsid w:val="00C918EB"/>
    <w:rsid w:val="00CA6AFF"/>
    <w:rsid w:val="00CB341C"/>
    <w:rsid w:val="00CB3C56"/>
    <w:rsid w:val="00CC183F"/>
    <w:rsid w:val="00CE0D4C"/>
    <w:rsid w:val="00CE4EB7"/>
    <w:rsid w:val="00CF6110"/>
    <w:rsid w:val="00D20DEC"/>
    <w:rsid w:val="00D264EC"/>
    <w:rsid w:val="00D51A88"/>
    <w:rsid w:val="00D57D56"/>
    <w:rsid w:val="00D61D96"/>
    <w:rsid w:val="00D8000E"/>
    <w:rsid w:val="00D8271A"/>
    <w:rsid w:val="00D82C6F"/>
    <w:rsid w:val="00D92F97"/>
    <w:rsid w:val="00DC38DE"/>
    <w:rsid w:val="00DC46D0"/>
    <w:rsid w:val="00DC6829"/>
    <w:rsid w:val="00DD2773"/>
    <w:rsid w:val="00DF0C13"/>
    <w:rsid w:val="00DF1FA4"/>
    <w:rsid w:val="00E00EFB"/>
    <w:rsid w:val="00E03BF7"/>
    <w:rsid w:val="00E27829"/>
    <w:rsid w:val="00E27B1E"/>
    <w:rsid w:val="00E328BC"/>
    <w:rsid w:val="00E74A6B"/>
    <w:rsid w:val="00E87AFC"/>
    <w:rsid w:val="00E938B4"/>
    <w:rsid w:val="00EB5147"/>
    <w:rsid w:val="00EC4389"/>
    <w:rsid w:val="00ED0A70"/>
    <w:rsid w:val="00ED1049"/>
    <w:rsid w:val="00ED237E"/>
    <w:rsid w:val="00F23F64"/>
    <w:rsid w:val="00F344FC"/>
    <w:rsid w:val="00F374EF"/>
    <w:rsid w:val="00F739C9"/>
    <w:rsid w:val="00F83E09"/>
    <w:rsid w:val="00F84610"/>
    <w:rsid w:val="00F85511"/>
    <w:rsid w:val="00FA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64187"/>
  <w15:chartTrackingRefBased/>
  <w15:docId w15:val="{5529563F-6593-4075-8F3E-F80C0A4D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178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9C9"/>
  </w:style>
  <w:style w:type="paragraph" w:styleId="Footer">
    <w:name w:val="footer"/>
    <w:basedOn w:val="Normal"/>
    <w:link w:val="FooterChar"/>
    <w:uiPriority w:val="99"/>
    <w:unhideWhenUsed/>
    <w:rsid w:val="00F73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9C9"/>
  </w:style>
  <w:style w:type="paragraph" w:styleId="NormalWeb">
    <w:name w:val="Normal (Web)"/>
    <w:basedOn w:val="Normal"/>
    <w:uiPriority w:val="99"/>
    <w:unhideWhenUsed/>
    <w:rsid w:val="00384A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B1784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43757"/>
    <w:rPr>
      <w:sz w:val="16"/>
      <w:szCs w:val="16"/>
    </w:rPr>
  </w:style>
  <w:style w:type="paragraph" w:styleId="CommentText">
    <w:name w:val="annotation text"/>
    <w:basedOn w:val="Normal"/>
    <w:link w:val="CommentTextChar"/>
    <w:uiPriority w:val="99"/>
    <w:unhideWhenUsed/>
    <w:rsid w:val="00A43757"/>
    <w:pPr>
      <w:spacing w:line="240" w:lineRule="auto"/>
    </w:pPr>
    <w:rPr>
      <w:sz w:val="20"/>
      <w:szCs w:val="20"/>
    </w:rPr>
  </w:style>
  <w:style w:type="character" w:customStyle="1" w:styleId="CommentTextChar">
    <w:name w:val="Comment Text Char"/>
    <w:basedOn w:val="DefaultParagraphFont"/>
    <w:link w:val="CommentText"/>
    <w:uiPriority w:val="99"/>
    <w:rsid w:val="00A43757"/>
    <w:rPr>
      <w:sz w:val="20"/>
      <w:szCs w:val="20"/>
    </w:rPr>
  </w:style>
  <w:style w:type="paragraph" w:styleId="CommentSubject">
    <w:name w:val="annotation subject"/>
    <w:basedOn w:val="CommentText"/>
    <w:next w:val="CommentText"/>
    <w:link w:val="CommentSubjectChar"/>
    <w:uiPriority w:val="99"/>
    <w:semiHidden/>
    <w:unhideWhenUsed/>
    <w:rsid w:val="00A43757"/>
    <w:rPr>
      <w:b/>
      <w:bCs/>
    </w:rPr>
  </w:style>
  <w:style w:type="character" w:customStyle="1" w:styleId="CommentSubjectChar">
    <w:name w:val="Comment Subject Char"/>
    <w:basedOn w:val="CommentTextChar"/>
    <w:link w:val="CommentSubject"/>
    <w:uiPriority w:val="99"/>
    <w:semiHidden/>
    <w:rsid w:val="00A43757"/>
    <w:rPr>
      <w:b/>
      <w:bCs/>
      <w:sz w:val="20"/>
      <w:szCs w:val="20"/>
    </w:rPr>
  </w:style>
  <w:style w:type="character" w:styleId="Hyperlink">
    <w:name w:val="Hyperlink"/>
    <w:basedOn w:val="DefaultParagraphFont"/>
    <w:uiPriority w:val="99"/>
    <w:unhideWhenUsed/>
    <w:rsid w:val="00C402D9"/>
    <w:rPr>
      <w:color w:val="0563C1" w:themeColor="hyperlink"/>
      <w:u w:val="single"/>
    </w:rPr>
  </w:style>
  <w:style w:type="character" w:customStyle="1" w:styleId="UnresolvedMention">
    <w:name w:val="Unresolved Mention"/>
    <w:basedOn w:val="DefaultParagraphFont"/>
    <w:uiPriority w:val="99"/>
    <w:semiHidden/>
    <w:unhideWhenUsed/>
    <w:rsid w:val="00C402D9"/>
    <w:rPr>
      <w:color w:val="605E5C"/>
      <w:shd w:val="clear" w:color="auto" w:fill="E1DFDD"/>
    </w:rPr>
  </w:style>
  <w:style w:type="paragraph" w:styleId="Revision">
    <w:name w:val="Revision"/>
    <w:hidden/>
    <w:uiPriority w:val="99"/>
    <w:semiHidden/>
    <w:rsid w:val="007A0883"/>
    <w:pPr>
      <w:spacing w:after="0" w:line="240" w:lineRule="auto"/>
    </w:pPr>
  </w:style>
  <w:style w:type="table" w:styleId="TableGrid">
    <w:name w:val="Table Grid"/>
    <w:basedOn w:val="TableNormal"/>
    <w:uiPriority w:val="39"/>
    <w:rsid w:val="00645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16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69C"/>
    <w:rPr>
      <w:sz w:val="20"/>
      <w:szCs w:val="20"/>
    </w:rPr>
  </w:style>
  <w:style w:type="character" w:styleId="FootnoteReference">
    <w:name w:val="footnote reference"/>
    <w:basedOn w:val="DefaultParagraphFont"/>
    <w:uiPriority w:val="99"/>
    <w:semiHidden/>
    <w:unhideWhenUsed/>
    <w:rsid w:val="00281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2399">
      <w:bodyDiv w:val="1"/>
      <w:marLeft w:val="0"/>
      <w:marRight w:val="0"/>
      <w:marTop w:val="0"/>
      <w:marBottom w:val="0"/>
      <w:divBdr>
        <w:top w:val="none" w:sz="0" w:space="0" w:color="auto"/>
        <w:left w:val="none" w:sz="0" w:space="0" w:color="auto"/>
        <w:bottom w:val="none" w:sz="0" w:space="0" w:color="auto"/>
        <w:right w:val="none" w:sz="0" w:space="0" w:color="auto"/>
      </w:divBdr>
    </w:div>
    <w:div w:id="564492823">
      <w:bodyDiv w:val="1"/>
      <w:marLeft w:val="0"/>
      <w:marRight w:val="0"/>
      <w:marTop w:val="0"/>
      <w:marBottom w:val="0"/>
      <w:divBdr>
        <w:top w:val="none" w:sz="0" w:space="0" w:color="auto"/>
        <w:left w:val="none" w:sz="0" w:space="0" w:color="auto"/>
        <w:bottom w:val="none" w:sz="0" w:space="0" w:color="auto"/>
        <w:right w:val="none" w:sz="0" w:space="0" w:color="auto"/>
      </w:divBdr>
    </w:div>
    <w:div w:id="912659857">
      <w:bodyDiv w:val="1"/>
      <w:marLeft w:val="0"/>
      <w:marRight w:val="0"/>
      <w:marTop w:val="0"/>
      <w:marBottom w:val="0"/>
      <w:divBdr>
        <w:top w:val="none" w:sz="0" w:space="0" w:color="auto"/>
        <w:left w:val="none" w:sz="0" w:space="0" w:color="auto"/>
        <w:bottom w:val="none" w:sz="0" w:space="0" w:color="auto"/>
        <w:right w:val="none" w:sz="0" w:space="0" w:color="auto"/>
      </w:divBdr>
    </w:div>
    <w:div w:id="963851345">
      <w:bodyDiv w:val="1"/>
      <w:marLeft w:val="0"/>
      <w:marRight w:val="0"/>
      <w:marTop w:val="0"/>
      <w:marBottom w:val="0"/>
      <w:divBdr>
        <w:top w:val="none" w:sz="0" w:space="0" w:color="auto"/>
        <w:left w:val="none" w:sz="0" w:space="0" w:color="auto"/>
        <w:bottom w:val="none" w:sz="0" w:space="0" w:color="auto"/>
        <w:right w:val="none" w:sz="0" w:space="0" w:color="auto"/>
      </w:divBdr>
    </w:div>
    <w:div w:id="1064138029">
      <w:bodyDiv w:val="1"/>
      <w:marLeft w:val="0"/>
      <w:marRight w:val="0"/>
      <w:marTop w:val="0"/>
      <w:marBottom w:val="0"/>
      <w:divBdr>
        <w:top w:val="none" w:sz="0" w:space="0" w:color="auto"/>
        <w:left w:val="none" w:sz="0" w:space="0" w:color="auto"/>
        <w:bottom w:val="none" w:sz="0" w:space="0" w:color="auto"/>
        <w:right w:val="none" w:sz="0" w:space="0" w:color="auto"/>
      </w:divBdr>
    </w:div>
    <w:div w:id="1079793137">
      <w:bodyDiv w:val="1"/>
      <w:marLeft w:val="0"/>
      <w:marRight w:val="0"/>
      <w:marTop w:val="0"/>
      <w:marBottom w:val="0"/>
      <w:divBdr>
        <w:top w:val="none" w:sz="0" w:space="0" w:color="auto"/>
        <w:left w:val="none" w:sz="0" w:space="0" w:color="auto"/>
        <w:bottom w:val="none" w:sz="0" w:space="0" w:color="auto"/>
        <w:right w:val="none" w:sz="0" w:space="0" w:color="auto"/>
      </w:divBdr>
    </w:div>
    <w:div w:id="1539197449">
      <w:bodyDiv w:val="1"/>
      <w:marLeft w:val="0"/>
      <w:marRight w:val="0"/>
      <w:marTop w:val="0"/>
      <w:marBottom w:val="0"/>
      <w:divBdr>
        <w:top w:val="none" w:sz="0" w:space="0" w:color="auto"/>
        <w:left w:val="none" w:sz="0" w:space="0" w:color="auto"/>
        <w:bottom w:val="none" w:sz="0" w:space="0" w:color="auto"/>
        <w:right w:val="none" w:sz="0" w:space="0" w:color="auto"/>
      </w:divBdr>
      <w:divsChild>
        <w:div w:id="1883053784">
          <w:marLeft w:val="0"/>
          <w:marRight w:val="0"/>
          <w:marTop w:val="0"/>
          <w:marBottom w:val="0"/>
          <w:divBdr>
            <w:top w:val="none" w:sz="0" w:space="0" w:color="auto"/>
            <w:left w:val="none" w:sz="0" w:space="0" w:color="auto"/>
            <w:bottom w:val="none" w:sz="0" w:space="0" w:color="auto"/>
            <w:right w:val="none" w:sz="0" w:space="0" w:color="auto"/>
          </w:divBdr>
        </w:div>
        <w:div w:id="1554846642">
          <w:marLeft w:val="0"/>
          <w:marRight w:val="0"/>
          <w:marTop w:val="0"/>
          <w:marBottom w:val="0"/>
          <w:divBdr>
            <w:top w:val="none" w:sz="0" w:space="0" w:color="auto"/>
            <w:left w:val="none" w:sz="0" w:space="0" w:color="auto"/>
            <w:bottom w:val="none" w:sz="0" w:space="0" w:color="auto"/>
            <w:right w:val="none" w:sz="0" w:space="0" w:color="auto"/>
          </w:divBdr>
        </w:div>
        <w:div w:id="595097970">
          <w:marLeft w:val="0"/>
          <w:marRight w:val="0"/>
          <w:marTop w:val="0"/>
          <w:marBottom w:val="0"/>
          <w:divBdr>
            <w:top w:val="none" w:sz="0" w:space="0" w:color="auto"/>
            <w:left w:val="none" w:sz="0" w:space="0" w:color="auto"/>
            <w:bottom w:val="none" w:sz="0" w:space="0" w:color="auto"/>
            <w:right w:val="none" w:sz="0" w:space="0" w:color="auto"/>
          </w:divBdr>
        </w:div>
        <w:div w:id="971397666">
          <w:marLeft w:val="0"/>
          <w:marRight w:val="0"/>
          <w:marTop w:val="0"/>
          <w:marBottom w:val="0"/>
          <w:divBdr>
            <w:top w:val="none" w:sz="0" w:space="0" w:color="auto"/>
            <w:left w:val="none" w:sz="0" w:space="0" w:color="auto"/>
            <w:bottom w:val="none" w:sz="0" w:space="0" w:color="auto"/>
            <w:right w:val="none" w:sz="0" w:space="0" w:color="auto"/>
          </w:divBdr>
        </w:div>
        <w:div w:id="2086100509">
          <w:marLeft w:val="0"/>
          <w:marRight w:val="0"/>
          <w:marTop w:val="0"/>
          <w:marBottom w:val="0"/>
          <w:divBdr>
            <w:top w:val="none" w:sz="0" w:space="0" w:color="auto"/>
            <w:left w:val="none" w:sz="0" w:space="0" w:color="auto"/>
            <w:bottom w:val="none" w:sz="0" w:space="0" w:color="auto"/>
            <w:right w:val="none" w:sz="0" w:space="0" w:color="auto"/>
          </w:divBdr>
        </w:div>
        <w:div w:id="524636151">
          <w:marLeft w:val="0"/>
          <w:marRight w:val="0"/>
          <w:marTop w:val="0"/>
          <w:marBottom w:val="0"/>
          <w:divBdr>
            <w:top w:val="none" w:sz="0" w:space="0" w:color="auto"/>
            <w:left w:val="none" w:sz="0" w:space="0" w:color="auto"/>
            <w:bottom w:val="none" w:sz="0" w:space="0" w:color="auto"/>
            <w:right w:val="none" w:sz="0" w:space="0" w:color="auto"/>
          </w:divBdr>
        </w:div>
        <w:div w:id="1585529347">
          <w:marLeft w:val="0"/>
          <w:marRight w:val="0"/>
          <w:marTop w:val="0"/>
          <w:marBottom w:val="0"/>
          <w:divBdr>
            <w:top w:val="none" w:sz="0" w:space="0" w:color="auto"/>
            <w:left w:val="none" w:sz="0" w:space="0" w:color="auto"/>
            <w:bottom w:val="none" w:sz="0" w:space="0" w:color="auto"/>
            <w:right w:val="none" w:sz="0" w:space="0" w:color="auto"/>
          </w:divBdr>
        </w:div>
        <w:div w:id="176578536">
          <w:marLeft w:val="0"/>
          <w:marRight w:val="0"/>
          <w:marTop w:val="0"/>
          <w:marBottom w:val="0"/>
          <w:divBdr>
            <w:top w:val="none" w:sz="0" w:space="0" w:color="auto"/>
            <w:left w:val="none" w:sz="0" w:space="0" w:color="auto"/>
            <w:bottom w:val="none" w:sz="0" w:space="0" w:color="auto"/>
            <w:right w:val="none" w:sz="0" w:space="0" w:color="auto"/>
          </w:divBdr>
        </w:div>
        <w:div w:id="1564682997">
          <w:marLeft w:val="0"/>
          <w:marRight w:val="0"/>
          <w:marTop w:val="0"/>
          <w:marBottom w:val="0"/>
          <w:divBdr>
            <w:top w:val="none" w:sz="0" w:space="0" w:color="auto"/>
            <w:left w:val="none" w:sz="0" w:space="0" w:color="auto"/>
            <w:bottom w:val="none" w:sz="0" w:space="0" w:color="auto"/>
            <w:right w:val="none" w:sz="0" w:space="0" w:color="auto"/>
          </w:divBdr>
        </w:div>
        <w:div w:id="162627368">
          <w:marLeft w:val="0"/>
          <w:marRight w:val="0"/>
          <w:marTop w:val="0"/>
          <w:marBottom w:val="0"/>
          <w:divBdr>
            <w:top w:val="none" w:sz="0" w:space="0" w:color="auto"/>
            <w:left w:val="none" w:sz="0" w:space="0" w:color="auto"/>
            <w:bottom w:val="none" w:sz="0" w:space="0" w:color="auto"/>
            <w:right w:val="none" w:sz="0" w:space="0" w:color="auto"/>
          </w:divBdr>
        </w:div>
      </w:divsChild>
    </w:div>
    <w:div w:id="1727487647">
      <w:bodyDiv w:val="1"/>
      <w:marLeft w:val="0"/>
      <w:marRight w:val="0"/>
      <w:marTop w:val="0"/>
      <w:marBottom w:val="0"/>
      <w:divBdr>
        <w:top w:val="none" w:sz="0" w:space="0" w:color="auto"/>
        <w:left w:val="none" w:sz="0" w:space="0" w:color="auto"/>
        <w:bottom w:val="none" w:sz="0" w:space="0" w:color="auto"/>
        <w:right w:val="none" w:sz="0" w:space="0" w:color="auto"/>
      </w:divBdr>
    </w:div>
    <w:div w:id="210842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walsh@dmu.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ost.eu/uploads/2023/11/COST-094-21-Annotated-Rules-for-COST-Actions-Level-C-V1.4-Final-.pdf" TargetMode="External"/><Relationship Id="rId1" Type="http://schemas.openxmlformats.org/officeDocument/2006/relationships/hyperlink" Target="https://www.scimagojr.com/journalrank.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EEDC-97B0-4B22-8CC1-7CAE9513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Walsh;Yvonne Daly</dc:creator>
  <cp:keywords/>
  <dc:description/>
  <cp:lastModifiedBy>Kristjan</cp:lastModifiedBy>
  <cp:revision>2</cp:revision>
  <cp:lastPrinted>2024-03-25T11:25:00Z</cp:lastPrinted>
  <dcterms:created xsi:type="dcterms:W3CDTF">2024-05-23T04:39:00Z</dcterms:created>
  <dcterms:modified xsi:type="dcterms:W3CDTF">2024-05-23T04:39:00Z</dcterms:modified>
</cp:coreProperties>
</file>